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际恒锐智传播集团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hint="eastAsia" w:ascii="微软雅黑" w:hAnsi="微软雅黑" w:eastAsia="微软雅黑"/>
          <w:b w:val="0"/>
          <w:bCs/>
          <w:color w:val="0000FF"/>
        </w:rPr>
        <w:fldChar w:fldCharType="begin"/>
      </w:r>
      <w:r>
        <w:rPr>
          <w:rFonts w:hint="eastAsia" w:ascii="微软雅黑" w:hAnsi="微软雅黑" w:eastAsia="微软雅黑"/>
          <w:b w:val="0"/>
          <w:bCs/>
          <w:color w:val="0000FF"/>
        </w:rPr>
        <w:instrText xml:space="preserve"> HYPERLINK "http://www.gxever.com" </w:instrText>
      </w:r>
      <w:r>
        <w:rPr>
          <w:rFonts w:hint="eastAsia" w:ascii="微软雅黑" w:hAnsi="微软雅黑" w:eastAsia="微软雅黑"/>
          <w:b w:val="0"/>
          <w:bCs/>
          <w:color w:val="0000FF"/>
        </w:rPr>
        <w:fldChar w:fldCharType="separate"/>
      </w:r>
      <w:r>
        <w:rPr>
          <w:rStyle w:val="15"/>
          <w:rFonts w:hint="eastAsia" w:ascii="微软雅黑" w:hAnsi="微软雅黑" w:eastAsia="微软雅黑"/>
          <w:b w:val="0"/>
          <w:bCs/>
          <w:color w:val="0000FF"/>
        </w:rPr>
        <w:t>w</w:t>
      </w:r>
      <w:r>
        <w:rPr>
          <w:rStyle w:val="15"/>
          <w:rFonts w:ascii="微软雅黑" w:hAnsi="微软雅黑" w:eastAsia="微软雅黑"/>
          <w:b w:val="0"/>
          <w:bCs/>
          <w:color w:val="0000FF"/>
        </w:rPr>
        <w:t>ww.gxever.com</w:t>
      </w:r>
      <w:r>
        <w:rPr>
          <w:rFonts w:hint="eastAsia" w:ascii="微软雅黑" w:hAnsi="微软雅黑" w:eastAsia="微软雅黑"/>
          <w:b w:val="0"/>
          <w:bCs/>
          <w:color w:val="0000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color w:val="auto"/>
        </w:rPr>
        <w:t>年度数字营销影响力代理公司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成立于2001年的际恒锐智，伴随着中国营销咨询行业的发展，已成为国内最大的商业营销咨询机构之一。700+的团队：既有资深老兵，也有年轻精英，既有在北上广一线城市分公司驻扎的专家，也有深入天南海北广阔市场的人才。500强企业合作伙伴：多年积累磨砺，我们收获了汽车、电商、快速消费品、IT通讯、家电、金融等行业500强企业合作伙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我们致力于成为一体化的营销智能服务商（Marketing Intelligent Agency），业务内容涵盖营销当中的核心环节，并构建起独特的4维智慧：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bCs/>
        </w:rPr>
        <w:t>数据维度</w:t>
      </w:r>
      <w:r>
        <w:rPr>
          <w:rFonts w:hint="eastAsia" w:ascii="微软雅黑" w:hAnsi="微软雅黑" w:eastAsia="微软雅黑"/>
          <w:b/>
          <w:bCs/>
          <w:lang w:eastAsia="zh-CN"/>
        </w:rPr>
        <w:t>：</w:t>
      </w:r>
      <w:r>
        <w:rPr>
          <w:rFonts w:hint="eastAsia" w:ascii="微软雅黑" w:hAnsi="微软雅黑" w:eastAsia="微软雅黑"/>
        </w:rPr>
        <w:t>包括企业营销数据的平台构建、数据收集、数据挖掘、数据分析等服务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bCs/>
        </w:rPr>
        <w:t>文化维度</w:t>
      </w:r>
      <w:r>
        <w:rPr>
          <w:rFonts w:hint="eastAsia" w:ascii="微软雅黑" w:hAnsi="微软雅黑" w:eastAsia="微软雅黑"/>
          <w:b/>
          <w:bCs/>
          <w:lang w:eastAsia="zh-CN"/>
        </w:rPr>
        <w:t>：</w:t>
      </w:r>
      <w:r>
        <w:rPr>
          <w:rFonts w:hint="eastAsia" w:ascii="微软雅黑" w:hAnsi="微软雅黑" w:eastAsia="微软雅黑"/>
        </w:rPr>
        <w:t>为企业提供全面的品牌战略、产品战略、销售战略、渠道战略、海外传播等咨询服务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bCs/>
        </w:rPr>
        <w:t>创意维度</w:t>
      </w:r>
      <w:r>
        <w:rPr>
          <w:rFonts w:hint="eastAsia" w:ascii="微软雅黑" w:hAnsi="微软雅黑" w:eastAsia="微软雅黑"/>
          <w:b/>
          <w:bCs/>
          <w:lang w:eastAsia="zh-CN"/>
        </w:rPr>
        <w:t>：</w:t>
      </w:r>
      <w:r>
        <w:rPr>
          <w:rFonts w:hint="eastAsia" w:ascii="微软雅黑" w:hAnsi="微软雅黑" w:eastAsia="微软雅黑"/>
        </w:rPr>
        <w:t>根据整体策略输出广告创意、活动创意、公关内容、口碑营销话题等创意物料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bCs/>
        </w:rPr>
        <w:t>资源维度</w:t>
      </w:r>
      <w:r>
        <w:rPr>
          <w:rFonts w:hint="eastAsia" w:ascii="微软雅黑" w:hAnsi="微软雅黑" w:eastAsia="微软雅黑"/>
          <w:b/>
          <w:bCs/>
          <w:lang w:eastAsia="zh-CN"/>
        </w:rPr>
        <w:t>：</w:t>
      </w:r>
      <w:r>
        <w:rPr>
          <w:rFonts w:hint="eastAsia" w:ascii="微软雅黑" w:hAnsi="微软雅黑" w:eastAsia="微软雅黑"/>
        </w:rPr>
        <w:t>根据企业需求以及战略方向，为企业提供执行层面的包括广告购买、公关营销、线上互动营销、线下活动营销、用户口碑管理等多种营销通路的管理和执行服务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我们服务客户，但我们以用户为中心。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</w:rPr>
        <w:t>我们洞察用户的趋势、发掘用户的需求、发现用户的偏好、收集用户的习惯，同我们的客户一起，为提升广大用户的消费体验一同努力。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整合营销咨询：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品牌战略、产品战略 市场研究、危机管理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整合营销：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公关传播：</w:t>
      </w:r>
      <w:r>
        <w:rPr>
          <w:rFonts w:hint="eastAsia" w:ascii="微软雅黑" w:hAnsi="微软雅黑" w:eastAsia="微软雅黑"/>
        </w:rPr>
        <w:t>品牌管理／媒体管理新闻传播／ePR／红人管理／口碑运维／舆情监测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事件营销</w:t>
      </w:r>
      <w:r>
        <w:rPr>
          <w:rFonts w:hint="eastAsia" w:ascii="微软雅黑" w:hAnsi="微软雅黑" w:eastAsia="微软雅黑"/>
        </w:rPr>
        <w:t>：发布会／赛事／体验式活动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Cs/>
        </w:rPr>
        <w:t>数字营销：</w:t>
      </w:r>
      <w:r>
        <w:rPr>
          <w:rFonts w:hint="eastAsia" w:ascii="微软雅黑" w:hAnsi="微软雅黑" w:eastAsia="微软雅黑"/>
        </w:rPr>
        <w:t>策略与创意输出／事件策划与运营／官方及领导人内容运营／粉丝运营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海外业务：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大事件传播 、海外媒体传播、名人／KOL资源、国际CSR资源、全球媒体监测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CRM：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数据库营销 、潜客培育、互动活动 、俱乐部运维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公司</w:t>
      </w:r>
      <w:r>
        <w:rPr>
          <w:rFonts w:ascii="微软雅黑" w:hAnsi="微软雅黑" w:eastAsia="微软雅黑"/>
        </w:rPr>
        <w:t>所获</w:t>
      </w:r>
      <w:r>
        <w:rPr>
          <w:rFonts w:hint="eastAsia" w:ascii="微软雅黑" w:hAnsi="微软雅黑" w:eastAsia="微软雅黑"/>
        </w:rPr>
        <w:t>部分</w:t>
      </w:r>
      <w:r>
        <w:rPr>
          <w:rFonts w:ascii="微软雅黑" w:hAnsi="微软雅黑" w:eastAsia="微软雅黑"/>
        </w:rPr>
        <w:t>数字营销方面荣誉：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</w:rPr>
        <w:t>荣获</w:t>
      </w:r>
      <w:r>
        <w:rPr>
          <w:rFonts w:hint="eastAsia" w:ascii="微软雅黑" w:hAnsi="微软雅黑" w:eastAsia="微软雅黑"/>
          <w:b/>
          <w:bCs/>
        </w:rPr>
        <w:t>历</w:t>
      </w:r>
      <w:r>
        <w:rPr>
          <w:rFonts w:ascii="微软雅黑" w:hAnsi="微软雅黑" w:eastAsia="微软雅黑"/>
          <w:b/>
          <w:bCs/>
        </w:rPr>
        <w:t>届</w:t>
      </w:r>
      <w:r>
        <w:rPr>
          <w:rFonts w:hint="eastAsia" w:ascii="微软雅黑" w:hAnsi="微软雅黑" w:eastAsia="微软雅黑"/>
          <w:b/>
          <w:bCs/>
        </w:rPr>
        <w:t>金鼠标数字</w:t>
      </w:r>
      <w:r>
        <w:rPr>
          <w:rFonts w:ascii="微软雅黑" w:hAnsi="微软雅黑" w:eastAsia="微软雅黑"/>
          <w:b/>
          <w:bCs/>
        </w:rPr>
        <w:t>营销类</w:t>
      </w:r>
      <w:r>
        <w:rPr>
          <w:rFonts w:hint="eastAsia" w:ascii="微软雅黑" w:hAnsi="微软雅黑" w:eastAsia="微软雅黑"/>
          <w:b/>
          <w:bCs/>
        </w:rPr>
        <w:t>多</w:t>
      </w:r>
      <w:r>
        <w:rPr>
          <w:rFonts w:ascii="微软雅黑" w:hAnsi="微软雅黑" w:eastAsia="微软雅黑"/>
          <w:b/>
          <w:bCs/>
        </w:rPr>
        <w:t>项大奖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/>
          <w:b/>
          <w:bCs/>
        </w:rPr>
      </w:pPr>
      <w:r>
        <w:drawing>
          <wp:inline distT="0" distB="0" distL="114300" distR="114300">
            <wp:extent cx="3778250" cy="3148330"/>
            <wp:effectExtent l="0" t="0" r="1270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荣获历</w:t>
      </w:r>
      <w:r>
        <w:rPr>
          <w:rFonts w:ascii="微软雅黑" w:hAnsi="微软雅黑" w:eastAsia="微软雅黑"/>
          <w:b/>
          <w:bCs/>
        </w:rPr>
        <w:t>届</w:t>
      </w:r>
      <w:r>
        <w:rPr>
          <w:rFonts w:hint="eastAsia" w:ascii="微软雅黑" w:hAnsi="微软雅黑" w:eastAsia="微软雅黑"/>
          <w:b/>
          <w:bCs/>
        </w:rPr>
        <w:t>IAI数字</w:t>
      </w:r>
      <w:r>
        <w:rPr>
          <w:rFonts w:ascii="微软雅黑" w:hAnsi="微软雅黑" w:eastAsia="微软雅黑"/>
          <w:b/>
          <w:bCs/>
        </w:rPr>
        <w:t>营销类</w:t>
      </w:r>
      <w:r>
        <w:rPr>
          <w:rFonts w:hint="eastAsia" w:ascii="微软雅黑" w:hAnsi="微软雅黑" w:eastAsia="微软雅黑"/>
          <w:b/>
          <w:bCs/>
        </w:rPr>
        <w:t>多</w:t>
      </w:r>
      <w:r>
        <w:rPr>
          <w:rFonts w:ascii="微软雅黑" w:hAnsi="微软雅黑" w:eastAsia="微软雅黑"/>
          <w:b/>
          <w:bCs/>
        </w:rPr>
        <w:t>项大奖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/>
          <w:b/>
          <w:bCs/>
        </w:rPr>
      </w:pPr>
      <w:r>
        <w:drawing>
          <wp:inline distT="0" distB="0" distL="114300" distR="114300">
            <wp:extent cx="3826510" cy="27743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荣</w:t>
      </w:r>
      <w:r>
        <w:rPr>
          <w:rFonts w:ascii="微软雅黑" w:hAnsi="微软雅黑" w:eastAsia="微软雅黑"/>
          <w:b/>
          <w:bCs/>
        </w:rPr>
        <w:t>获历届</w:t>
      </w:r>
      <w:r>
        <w:rPr>
          <w:rFonts w:hint="eastAsia" w:ascii="微软雅黑" w:hAnsi="微软雅黑" w:eastAsia="微软雅黑"/>
          <w:b/>
          <w:bCs/>
        </w:rPr>
        <w:t>Topdigital多</w:t>
      </w:r>
      <w:r>
        <w:rPr>
          <w:rFonts w:ascii="微软雅黑" w:hAnsi="微软雅黑" w:eastAsia="微软雅黑"/>
          <w:b/>
          <w:bCs/>
        </w:rPr>
        <w:t>项大奖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rPr>
          <w:rFonts w:ascii="微软雅黑" w:hAnsi="微软雅黑" w:eastAsia="微软雅黑"/>
          <w:b/>
          <w:bCs/>
        </w:rPr>
      </w:pPr>
      <w:r>
        <w:drawing>
          <wp:inline distT="0" distB="0" distL="114300" distR="114300">
            <wp:extent cx="4935220" cy="2143125"/>
            <wp:effectExtent l="0" t="0" r="1778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textAlignment w:val="baseline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</w:rPr>
        <w:t>汽车类：东风日产，英菲尼迪，大众，现代汽车、宝沃、腾势，</w:t>
      </w:r>
      <w:r>
        <w:rPr>
          <w:rFonts w:ascii="微软雅黑" w:hAnsi="微软雅黑" w:eastAsia="微软雅黑"/>
        </w:rPr>
        <w:t>比亚迪，奥迪</w:t>
      </w:r>
      <w:r>
        <w:rPr>
          <w:rFonts w:hint="eastAsia" w:ascii="微软雅黑" w:hAnsi="微软雅黑" w:eastAsia="微软雅黑"/>
        </w:rPr>
        <w:t>等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textAlignment w:val="baseline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互联网：爱奇艺，大麦，大文娱、阿里、支付宝，</w:t>
      </w:r>
      <w:r>
        <w:rPr>
          <w:rFonts w:ascii="微软雅黑" w:hAnsi="微软雅黑" w:eastAsia="微软雅黑"/>
        </w:rPr>
        <w:t>腾讯</w:t>
      </w:r>
      <w:r>
        <w:rPr>
          <w:rFonts w:hint="eastAsia" w:ascii="微软雅黑" w:hAnsi="微软雅黑" w:eastAsia="微软雅黑"/>
        </w:rPr>
        <w:t>等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textAlignment w:val="baseline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快消类：蒙牛，红牛，李宁，德邦等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textAlignment w:val="baseline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3C类： 华为，中国联通，OPPO，</w:t>
      </w:r>
      <w:r>
        <w:rPr>
          <w:rFonts w:ascii="微软雅黑" w:hAnsi="微软雅黑" w:eastAsia="微软雅黑"/>
        </w:rPr>
        <w:t>三星</w:t>
      </w:r>
      <w:r>
        <w:rPr>
          <w:rFonts w:hint="eastAsia" w:ascii="微软雅黑" w:hAnsi="微软雅黑" w:eastAsia="微软雅黑"/>
        </w:rPr>
        <w:t>等</w:t>
      </w:r>
      <w:r>
        <w:rPr>
          <w:rFonts w:hint="eastAsia" w:ascii="微软雅黑" w:hAnsi="微软雅黑" w:eastAsia="微软雅黑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textAlignment w:val="baseline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文</w:t>
      </w:r>
      <w:r>
        <w:rPr>
          <w:rFonts w:ascii="微软雅黑" w:hAnsi="微软雅黑" w:eastAsia="微软雅黑"/>
        </w:rPr>
        <w:t>创类：</w:t>
      </w:r>
      <w:r>
        <w:rPr>
          <w:rFonts w:hint="eastAsia" w:ascii="微软雅黑" w:hAnsi="微软雅黑" w:eastAsia="微软雅黑"/>
        </w:rPr>
        <w:t>万</w:t>
      </w:r>
      <w:r>
        <w:rPr>
          <w:rFonts w:ascii="微软雅黑" w:hAnsi="微软雅黑" w:eastAsia="微软雅黑"/>
        </w:rPr>
        <w:t>达集团，东方园林等</w:t>
      </w:r>
      <w:r>
        <w:rPr>
          <w:rFonts w:hint="eastAsia" w:ascii="微软雅黑" w:hAnsi="微软雅黑" w:eastAsia="微软雅黑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/>
        </w:rPr>
        <w:t>多年来为以上等客户提供整合营销服务。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61839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3E82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0755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2529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248D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5269"/>
    <w:rsid w:val="009A3FFB"/>
    <w:rsid w:val="009A7E78"/>
    <w:rsid w:val="009B0289"/>
    <w:rsid w:val="009B0E2C"/>
    <w:rsid w:val="009C29B7"/>
    <w:rsid w:val="009C6E37"/>
    <w:rsid w:val="009D418A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279C2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619C2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09BA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674E7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416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45609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8DC4667"/>
    <w:rsid w:val="0CB02E09"/>
    <w:rsid w:val="0FEC2A54"/>
    <w:rsid w:val="10A9225E"/>
    <w:rsid w:val="10B97D70"/>
    <w:rsid w:val="13746D1B"/>
    <w:rsid w:val="157C1C16"/>
    <w:rsid w:val="16DE6754"/>
    <w:rsid w:val="1A864D7A"/>
    <w:rsid w:val="1AB97C76"/>
    <w:rsid w:val="1AE56FCA"/>
    <w:rsid w:val="1D3A58B6"/>
    <w:rsid w:val="22296C82"/>
    <w:rsid w:val="22314E48"/>
    <w:rsid w:val="236B1D67"/>
    <w:rsid w:val="24493463"/>
    <w:rsid w:val="252A3ABE"/>
    <w:rsid w:val="27BF7281"/>
    <w:rsid w:val="28C72365"/>
    <w:rsid w:val="2931099A"/>
    <w:rsid w:val="29BA16D0"/>
    <w:rsid w:val="2B2A0CE3"/>
    <w:rsid w:val="2B767C89"/>
    <w:rsid w:val="2B96217F"/>
    <w:rsid w:val="2DA2551E"/>
    <w:rsid w:val="2E6355E8"/>
    <w:rsid w:val="2F0107F7"/>
    <w:rsid w:val="2F834871"/>
    <w:rsid w:val="302E7B4D"/>
    <w:rsid w:val="30B268A3"/>
    <w:rsid w:val="31551C7D"/>
    <w:rsid w:val="380B3453"/>
    <w:rsid w:val="38AB19E1"/>
    <w:rsid w:val="394F0FBF"/>
    <w:rsid w:val="3DD7357A"/>
    <w:rsid w:val="459970CD"/>
    <w:rsid w:val="46B12FB4"/>
    <w:rsid w:val="47A46AD9"/>
    <w:rsid w:val="485D61D0"/>
    <w:rsid w:val="491801E8"/>
    <w:rsid w:val="4C5F6F69"/>
    <w:rsid w:val="4F402B3B"/>
    <w:rsid w:val="513A2288"/>
    <w:rsid w:val="523632A4"/>
    <w:rsid w:val="58615139"/>
    <w:rsid w:val="5E853EA2"/>
    <w:rsid w:val="654C6A16"/>
    <w:rsid w:val="67F10B2B"/>
    <w:rsid w:val="67F91787"/>
    <w:rsid w:val="68944E9D"/>
    <w:rsid w:val="6AD6076B"/>
    <w:rsid w:val="6F2C410D"/>
    <w:rsid w:val="717F0ED8"/>
    <w:rsid w:val="72020AEE"/>
    <w:rsid w:val="727127AB"/>
    <w:rsid w:val="77A81024"/>
    <w:rsid w:val="7A7C784F"/>
    <w:rsid w:val="7B13245F"/>
    <w:rsid w:val="7B7F14B6"/>
    <w:rsid w:val="7C91204C"/>
    <w:rsid w:val="7DB0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Char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FC3B2-4AC7-4322-A6A6-8FD088B83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192</Words>
  <Characters>1100</Characters>
  <Lines>9</Lines>
  <Paragraphs>2</Paragraphs>
  <TotalTime>8</TotalTime>
  <ScaleCrop>false</ScaleCrop>
  <LinksUpToDate>false</LinksUpToDate>
  <CharactersWithSpaces>1290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w</cp:lastModifiedBy>
  <cp:lastPrinted>2013-11-12T01:54:00Z</cp:lastPrinted>
  <dcterms:modified xsi:type="dcterms:W3CDTF">2021-02-02T07:26:09Z</dcterms:modified>
  <dc:title>No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