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微软雅黑" w:hAnsi="微软雅黑" w:eastAsia="微软雅黑" w:cs="微软雅黑"/>
          <w:b/>
          <w:bCs/>
          <w:sz w:val="32"/>
          <w:szCs w:val="32"/>
        </w:rPr>
      </w:pPr>
      <w:bookmarkStart w:id="0" w:name="_GoBack"/>
      <w:r>
        <w:rPr>
          <w:rFonts w:hint="eastAsia" w:ascii="微软雅黑" w:hAnsi="微软雅黑" w:eastAsia="微软雅黑" w:cs="微软雅黑"/>
          <w:b/>
          <w:bCs/>
          <w:sz w:val="32"/>
          <w:szCs w:val="32"/>
        </w:rPr>
        <w:t>中国体育彩票吉祥物征集活动及形象运用推广</w:t>
      </w:r>
    </w:p>
    <w:bookmarkEnd w:id="0"/>
    <w:p>
      <w:pPr>
        <w:textAlignment w:val="baseline"/>
        <w:rPr>
          <w:rFonts w:ascii="微软雅黑" w:hAnsi="微软雅黑" w:eastAsia="微软雅黑"/>
          <w:b/>
          <w:sz w:val="21"/>
          <w:szCs w:val="21"/>
        </w:rPr>
      </w:pPr>
      <w:r>
        <w:rPr>
          <w:rFonts w:hint="eastAsia" w:ascii="微软雅黑" w:hAnsi="微软雅黑" w:eastAsia="微软雅黑"/>
          <w:b/>
          <w:sz w:val="21"/>
          <w:szCs w:val="21"/>
        </w:rPr>
        <w:t>广 告 主：</w:t>
      </w:r>
      <w:r>
        <w:rPr>
          <w:rFonts w:hint="eastAsia" w:ascii="微软雅黑" w:hAnsi="微软雅黑" w:eastAsia="微软雅黑" w:cs="微软雅黑"/>
          <w:sz w:val="21"/>
          <w:szCs w:val="21"/>
          <w:lang w:val="en-US" w:eastAsia="zh-CN"/>
        </w:rPr>
        <w:t>国家体育总局体育彩票管理中心</w:t>
      </w:r>
    </w:p>
    <w:p>
      <w:pPr>
        <w:textAlignment w:val="baseline"/>
        <w:rPr>
          <w:rFonts w:hint="eastAsia" w:ascii="微软雅黑" w:hAnsi="微软雅黑" w:eastAsia="微软雅黑"/>
          <w:b/>
          <w:sz w:val="21"/>
          <w:szCs w:val="21"/>
          <w:lang w:val="en-US" w:eastAsia="zh-CN"/>
        </w:rPr>
      </w:pPr>
      <w:r>
        <w:rPr>
          <w:rFonts w:hint="eastAsia" w:ascii="微软雅黑" w:hAnsi="微软雅黑" w:eastAsia="微软雅黑"/>
          <w:b/>
          <w:sz w:val="21"/>
          <w:szCs w:val="21"/>
        </w:rPr>
        <w:t>所属行业：</w:t>
      </w:r>
      <w:r>
        <w:rPr>
          <w:rFonts w:hint="eastAsia" w:ascii="微软雅黑" w:hAnsi="微软雅黑" w:eastAsia="微软雅黑"/>
          <w:sz w:val="21"/>
          <w:szCs w:val="21"/>
          <w:lang w:eastAsia="zh-CN"/>
        </w:rPr>
        <w:t>彩票业</w:t>
      </w:r>
    </w:p>
    <w:p>
      <w:pPr>
        <w:textAlignment w:val="baseline"/>
        <w:rPr>
          <w:rFonts w:hint="default" w:ascii="微软雅黑" w:hAnsi="微软雅黑" w:eastAsia="微软雅黑"/>
          <w:b/>
          <w:sz w:val="21"/>
          <w:szCs w:val="21"/>
          <w:lang w:val="en-US" w:eastAsia="zh-CN"/>
        </w:rPr>
      </w:pPr>
      <w:r>
        <w:rPr>
          <w:rFonts w:hint="eastAsia" w:ascii="微软雅黑" w:hAnsi="微软雅黑" w:eastAsia="微软雅黑"/>
          <w:b/>
          <w:sz w:val="21"/>
          <w:szCs w:val="21"/>
        </w:rPr>
        <w:t>执行时间：</w:t>
      </w:r>
      <w:r>
        <w:rPr>
          <w:rFonts w:hint="eastAsia" w:ascii="微软雅黑" w:hAnsi="微软雅黑" w:eastAsia="微软雅黑"/>
          <w:sz w:val="21"/>
          <w:szCs w:val="21"/>
        </w:rPr>
        <w:t>20</w:t>
      </w:r>
      <w:r>
        <w:rPr>
          <w:rFonts w:ascii="微软雅黑" w:hAnsi="微软雅黑" w:eastAsia="微软雅黑"/>
          <w:sz w:val="21"/>
          <w:szCs w:val="21"/>
        </w:rPr>
        <w:t>20</w:t>
      </w:r>
      <w:r>
        <w:rPr>
          <w:rFonts w:hint="eastAsia" w:ascii="微软雅黑" w:hAnsi="微软雅黑" w:eastAsia="微软雅黑"/>
          <w:sz w:val="21"/>
          <w:szCs w:val="21"/>
        </w:rPr>
        <w:t>.0</w:t>
      </w:r>
      <w:r>
        <w:rPr>
          <w:rFonts w:hint="eastAsia" w:ascii="微软雅黑" w:hAnsi="微软雅黑" w:eastAsia="微软雅黑"/>
          <w:sz w:val="21"/>
          <w:szCs w:val="21"/>
          <w:lang w:val="en-US" w:eastAsia="zh-CN"/>
        </w:rPr>
        <w:t>4</w:t>
      </w:r>
      <w:r>
        <w:rPr>
          <w:rFonts w:hint="eastAsia" w:ascii="微软雅黑" w:hAnsi="微软雅黑" w:eastAsia="微软雅黑"/>
          <w:sz w:val="21"/>
          <w:szCs w:val="21"/>
        </w:rPr>
        <w:t>.</w:t>
      </w:r>
      <w:r>
        <w:rPr>
          <w:rFonts w:ascii="微软雅黑" w:hAnsi="微软雅黑" w:eastAsia="微软雅黑"/>
          <w:sz w:val="21"/>
          <w:szCs w:val="21"/>
        </w:rPr>
        <w:t>01</w:t>
      </w:r>
      <w:r>
        <w:rPr>
          <w:rFonts w:hint="eastAsia" w:ascii="微软雅黑" w:hAnsi="微软雅黑" w:eastAsia="微软雅黑"/>
          <w:sz w:val="21"/>
          <w:szCs w:val="21"/>
        </w:rPr>
        <w:t>-1</w:t>
      </w:r>
      <w:r>
        <w:rPr>
          <w:rFonts w:hint="eastAsia" w:ascii="微软雅黑" w:hAnsi="微软雅黑" w:eastAsia="微软雅黑"/>
          <w:sz w:val="21"/>
          <w:szCs w:val="21"/>
          <w:lang w:val="en-US" w:eastAsia="zh-CN"/>
        </w:rPr>
        <w:t>1.01</w:t>
      </w:r>
    </w:p>
    <w:p>
      <w:pPr>
        <w:spacing w:after="240"/>
        <w:textAlignment w:val="baseline"/>
        <w:rPr>
          <w:rFonts w:ascii="微软雅黑" w:hAnsi="微软雅黑" w:eastAsia="微软雅黑"/>
          <w:color w:val="auto"/>
          <w:sz w:val="21"/>
          <w:szCs w:val="21"/>
        </w:rPr>
      </w:pPr>
      <w:r>
        <w:rPr>
          <w:rFonts w:hint="eastAsia" w:ascii="微软雅黑" w:hAnsi="微软雅黑" w:eastAsia="微软雅黑"/>
          <w:b/>
          <w:sz w:val="21"/>
          <w:szCs w:val="21"/>
        </w:rPr>
        <w:t>参选类别：</w:t>
      </w:r>
      <w:r>
        <w:rPr>
          <w:rFonts w:hint="eastAsia" w:ascii="微软雅黑" w:hAnsi="微软雅黑" w:eastAsia="微软雅黑"/>
          <w:color w:val="auto"/>
          <w:sz w:val="21"/>
          <w:szCs w:val="21"/>
        </w:rPr>
        <w:t>跨媒体整合类</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营销背景</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中国体育彩票是国家发行管理的公益彩票，多年来秉承“来之于民、用之于民”的发行宗旨，塑造“公益体彩、乐善人生”的品牌形象，并致力于建设负责任、可信赖、健康持续发展的国家公益彩票。品牌面向除未成年以外的所有人群，发展长期居于行业领先地位。近年来，中国体育彩票大力弘扬“责任、诚信、团结、创新”的精神，在游戏管理、队伍建设、社会服务等方面做出了巨大努力，以体彩公益金为重要组成部分的中央集中彩票公益金广泛用于社会保障、医疗卫生、教育助学、扶贫攻坚、赈灾救灾、文化发展等社会公益事业，同时持续打造出“公益体彩 快乐操场”、“新长城公益助学金”等品牌公益活动，已成为推动社会公益事业和体育事业发展的重要力量。</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sz w:val="21"/>
          <w:szCs w:val="21"/>
        </w:rPr>
      </w:pPr>
      <w:r>
        <w:rPr>
          <w:rFonts w:hint="eastAsia" w:ascii="微软雅黑" w:hAnsi="微软雅黑" w:eastAsia="微软雅黑" w:cs="微软雅黑"/>
          <w:sz w:val="21"/>
          <w:szCs w:val="21"/>
        </w:rPr>
        <w:t>90、00后已成为当今市场消费主力，对品牌传播起重要作用。</w:t>
      </w:r>
      <w:r>
        <w:rPr>
          <w:rFonts w:hint="eastAsia" w:ascii="微软雅黑" w:hAnsi="微软雅黑" w:eastAsia="微软雅黑" w:cs="微软雅黑"/>
          <w:sz w:val="21"/>
          <w:szCs w:val="21"/>
          <w:lang w:eastAsia="zh-CN"/>
        </w:rPr>
        <w:t>对此，</w:t>
      </w:r>
      <w:r>
        <w:rPr>
          <w:rFonts w:hint="eastAsia" w:ascii="微软雅黑" w:hAnsi="微软雅黑" w:eastAsia="微软雅黑" w:cs="微软雅黑"/>
          <w:sz w:val="21"/>
          <w:szCs w:val="21"/>
        </w:rPr>
        <w:t>中国体育彩票</w:t>
      </w:r>
      <w:r>
        <w:rPr>
          <w:rFonts w:hint="eastAsia" w:ascii="微软雅黑" w:hAnsi="微软雅黑" w:eastAsia="微软雅黑" w:cs="微软雅黑"/>
          <w:sz w:val="21"/>
          <w:szCs w:val="21"/>
          <w:lang w:eastAsia="zh-CN"/>
        </w:rPr>
        <w:t>面临的营销挑战是其</w:t>
      </w:r>
      <w:r>
        <w:rPr>
          <w:rFonts w:hint="eastAsia" w:ascii="微软雅黑" w:hAnsi="微软雅黑" w:eastAsia="微软雅黑" w:cs="微软雅黑"/>
          <w:sz w:val="21"/>
          <w:szCs w:val="21"/>
        </w:rPr>
        <w:t>需</w:t>
      </w:r>
      <w:r>
        <w:rPr>
          <w:rFonts w:hint="eastAsia" w:ascii="微软雅黑" w:hAnsi="微软雅黑" w:eastAsia="微软雅黑" w:cs="微软雅黑"/>
          <w:sz w:val="21"/>
          <w:szCs w:val="21"/>
          <w:lang w:eastAsia="zh-CN"/>
        </w:rPr>
        <w:t>要</w:t>
      </w:r>
      <w:r>
        <w:rPr>
          <w:rFonts w:hint="eastAsia" w:ascii="微软雅黑" w:hAnsi="微软雅黑" w:eastAsia="微软雅黑" w:cs="微软雅黑"/>
          <w:sz w:val="21"/>
          <w:szCs w:val="21"/>
        </w:rPr>
        <w:t>与新生代消费群体建立更深层次的沟通交流，在年轻人群体中改变固有认知，塑造崭新形象，让更多人尤其是年轻群体了解体彩公益内核</w:t>
      </w:r>
      <w:r>
        <w:rPr>
          <w:rFonts w:ascii="宋体" w:hAnsi="宋体" w:eastAsia="宋体" w:cs="宋体"/>
          <w:sz w:val="24"/>
          <w:szCs w:val="24"/>
        </w:rPr>
        <w:t>。</w:t>
      </w:r>
      <w:r>
        <w:rPr>
          <w:rFonts w:hint="eastAsia" w:ascii="微软雅黑" w:hAnsi="微软雅黑" w:eastAsia="微软雅黑" w:cs="微软雅黑"/>
          <w:sz w:val="21"/>
          <w:szCs w:val="21"/>
        </w:rPr>
        <w:t>吉祥物是企业品牌形象、文化内涵的重要载体，利于营销推广品牌形象，迅速提升品牌知名度与影响力，实现与市场客户的进一步有效沟通，打造专属吉祥物IP已成为当下企业发展不可忽略的趋势之一。</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营销目标</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sz w:val="21"/>
          <w:szCs w:val="21"/>
        </w:rPr>
      </w:pPr>
      <w:r>
        <w:rPr>
          <w:rFonts w:hint="eastAsia" w:ascii="微软雅黑" w:hAnsi="微软雅黑" w:eastAsia="微软雅黑" w:cs="微软雅黑"/>
          <w:sz w:val="21"/>
          <w:szCs w:val="21"/>
          <w:lang w:eastAsia="zh-CN"/>
        </w:rPr>
        <w:t>“乐小星”</w:t>
      </w:r>
      <w:r>
        <w:rPr>
          <w:rFonts w:hint="eastAsia" w:ascii="微软雅黑" w:hAnsi="微软雅黑" w:eastAsia="微软雅黑" w:cs="微软雅黑"/>
          <w:sz w:val="21"/>
          <w:szCs w:val="21"/>
        </w:rPr>
        <w:t>吉祥物是企业品牌形象、文化内涵的重要载体，同时年轻群体已成为当今市场消费主力。据此项目定位于创造符合品牌形象、符合年轻群体审美的体彩吉祥物形象，并通过对吉祥物形象的应用推广，使其作为具象化的品牌形象载体，实现更有效的用户传播沟通，吸引以年轻人群为主的广泛社会群体的关注。同时结合多样化宣传方式、多平台矩阵推广、多阶段排浪式营销活动，形成互动传播声浪，触达</w:t>
      </w:r>
      <w:r>
        <w:rPr>
          <w:rFonts w:hint="eastAsia" w:ascii="微软雅黑" w:hAnsi="微软雅黑" w:eastAsia="微软雅黑" w:cs="微软雅黑"/>
          <w:sz w:val="21"/>
          <w:szCs w:val="21"/>
          <w:lang w:val="en-US" w:eastAsia="zh-CN"/>
        </w:rPr>
        <w:t>体彩</w:t>
      </w:r>
      <w:r>
        <w:rPr>
          <w:rFonts w:hint="eastAsia" w:ascii="微软雅黑" w:hAnsi="微软雅黑" w:eastAsia="微软雅黑" w:cs="微软雅黑"/>
          <w:sz w:val="21"/>
          <w:szCs w:val="21"/>
        </w:rPr>
        <w:t>公益</w:t>
      </w:r>
      <w:r>
        <w:rPr>
          <w:rFonts w:hint="eastAsia" w:ascii="微软雅黑" w:hAnsi="微软雅黑" w:eastAsia="微软雅黑" w:cs="微软雅黑"/>
          <w:sz w:val="21"/>
          <w:szCs w:val="21"/>
          <w:lang w:val="en-US" w:eastAsia="zh-CN"/>
        </w:rPr>
        <w:t>品牌</w:t>
      </w:r>
      <w:r>
        <w:rPr>
          <w:rFonts w:hint="eastAsia" w:ascii="微软雅黑" w:hAnsi="微软雅黑" w:eastAsia="微软雅黑" w:cs="微软雅黑"/>
          <w:sz w:val="21"/>
          <w:szCs w:val="21"/>
        </w:rPr>
        <w:t>内核，实现品牌形象破壁认和破圈传播，提升体彩品牌影响力。</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策略与创意</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1、撬动</w:t>
      </w:r>
      <w:r>
        <w:rPr>
          <w:rFonts w:hint="eastAsia" w:ascii="微软雅黑" w:hAnsi="微软雅黑" w:eastAsia="微软雅黑" w:cs="微软雅黑"/>
          <w:b w:val="0"/>
          <w:bCs w:val="0"/>
          <w:sz w:val="21"/>
          <w:szCs w:val="21"/>
          <w:lang w:val="en-US" w:eastAsia="zh-CN"/>
        </w:rPr>
        <w:t>以八大美院为首的50余所</w:t>
      </w:r>
      <w:r>
        <w:rPr>
          <w:rFonts w:hint="eastAsia" w:ascii="微软雅黑" w:hAnsi="微软雅黑" w:eastAsia="微软雅黑" w:cs="微软雅黑"/>
          <w:b w:val="0"/>
          <w:bCs w:val="0"/>
          <w:sz w:val="21"/>
          <w:szCs w:val="21"/>
        </w:rPr>
        <w:t>高校、</w:t>
      </w:r>
      <w:r>
        <w:rPr>
          <w:rFonts w:hint="eastAsia" w:ascii="微软雅黑" w:hAnsi="微软雅黑" w:eastAsia="微软雅黑" w:cs="微软雅黑"/>
          <w:b w:val="0"/>
          <w:bCs w:val="0"/>
          <w:sz w:val="21"/>
          <w:szCs w:val="21"/>
          <w:lang w:val="en-US" w:eastAsia="zh-CN"/>
        </w:rPr>
        <w:t>站酷平台</w:t>
      </w:r>
      <w:r>
        <w:rPr>
          <w:rFonts w:hint="eastAsia" w:ascii="微软雅黑" w:hAnsi="微软雅黑" w:eastAsia="微软雅黑" w:cs="微软雅黑"/>
          <w:b w:val="0"/>
          <w:bCs w:val="0"/>
          <w:sz w:val="21"/>
          <w:szCs w:val="21"/>
        </w:rPr>
        <w:t>知名设计师参与</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集结领域专业人士权威护航，</w:t>
      </w:r>
      <w:r>
        <w:rPr>
          <w:rFonts w:hint="eastAsia" w:ascii="微软雅黑" w:hAnsi="微软雅黑" w:eastAsia="微软雅黑" w:cs="微软雅黑"/>
          <w:b w:val="0"/>
          <w:bCs w:val="0"/>
          <w:sz w:val="21"/>
          <w:szCs w:val="21"/>
        </w:rPr>
        <w:t>全民共创体彩吉祥物；</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2、</w:t>
      </w:r>
      <w:r>
        <w:rPr>
          <w:rFonts w:hint="eastAsia" w:ascii="微软雅黑" w:hAnsi="微软雅黑" w:eastAsia="微软雅黑" w:cs="微软雅黑"/>
          <w:b w:val="0"/>
          <w:bCs w:val="0"/>
          <w:sz w:val="21"/>
          <w:szCs w:val="21"/>
          <w:lang w:val="en-US" w:eastAsia="zh-CN"/>
        </w:rPr>
        <w:t>奥运冠军武大靖强势</w:t>
      </w:r>
      <w:r>
        <w:rPr>
          <w:rFonts w:hint="eastAsia" w:ascii="微软雅黑" w:hAnsi="微软雅黑" w:eastAsia="微软雅黑" w:cs="微软雅黑"/>
          <w:b w:val="0"/>
          <w:bCs w:val="0"/>
          <w:sz w:val="21"/>
          <w:szCs w:val="21"/>
        </w:rPr>
        <w:t>站台，</w:t>
      </w:r>
      <w:r>
        <w:rPr>
          <w:rFonts w:hint="eastAsia" w:ascii="微软雅黑" w:hAnsi="微软雅黑" w:eastAsia="微软雅黑" w:cs="微软雅黑"/>
          <w:b w:val="0"/>
          <w:bCs w:val="0"/>
          <w:sz w:val="21"/>
          <w:szCs w:val="21"/>
          <w:lang w:val="en-US" w:eastAsia="zh-CN"/>
        </w:rPr>
        <w:t>借助</w:t>
      </w:r>
      <w:r>
        <w:rPr>
          <w:rFonts w:hint="eastAsia" w:ascii="微软雅黑" w:hAnsi="微软雅黑" w:eastAsia="微软雅黑" w:cs="微软雅黑"/>
          <w:b w:val="0"/>
          <w:bCs w:val="0"/>
          <w:sz w:val="21"/>
          <w:szCs w:val="21"/>
        </w:rPr>
        <w:t>CG动画、发布会等</w:t>
      </w:r>
      <w:r>
        <w:rPr>
          <w:rFonts w:hint="eastAsia" w:ascii="微软雅黑" w:hAnsi="微软雅黑" w:eastAsia="微软雅黑" w:cs="微软雅黑"/>
          <w:b w:val="0"/>
          <w:bCs w:val="0"/>
          <w:sz w:val="21"/>
          <w:szCs w:val="21"/>
          <w:lang w:val="en-US" w:eastAsia="zh-CN"/>
        </w:rPr>
        <w:t>形式全方位</w:t>
      </w:r>
      <w:r>
        <w:rPr>
          <w:rFonts w:hint="eastAsia" w:ascii="微软雅黑" w:hAnsi="微软雅黑" w:eastAsia="微软雅黑" w:cs="微软雅黑"/>
          <w:b w:val="0"/>
          <w:bCs w:val="0"/>
          <w:sz w:val="21"/>
          <w:szCs w:val="21"/>
        </w:rPr>
        <w:t>发布吉祥物</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融合原创漫画、表情包、衍生品、H5等形式创意应用推广吉祥物形象；</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rPr>
        <w:t>3、全国各地开展</w:t>
      </w:r>
      <w:r>
        <w:rPr>
          <w:rFonts w:hint="eastAsia" w:ascii="微软雅黑" w:hAnsi="微软雅黑" w:eastAsia="微软雅黑" w:cs="微软雅黑"/>
          <w:b w:val="0"/>
          <w:bCs w:val="0"/>
          <w:sz w:val="21"/>
          <w:szCs w:val="21"/>
          <w:lang w:val="en-US" w:eastAsia="zh-CN"/>
        </w:rPr>
        <w:t>创意沉浸式打卡</w:t>
      </w:r>
      <w:r>
        <w:rPr>
          <w:rFonts w:hint="eastAsia" w:ascii="微软雅黑" w:hAnsi="微软雅黑" w:eastAsia="微软雅黑" w:cs="微软雅黑"/>
          <w:b w:val="0"/>
          <w:bCs w:val="0"/>
          <w:sz w:val="21"/>
          <w:szCs w:val="21"/>
        </w:rPr>
        <w:t>活动，让吉祥物与公众零距离玩起来</w:t>
      </w:r>
      <w:r>
        <w:rPr>
          <w:rFonts w:hint="eastAsia" w:ascii="微软雅黑" w:hAnsi="微软雅黑" w:eastAsia="微软雅黑" w:cs="微软雅黑"/>
          <w:b w:val="0"/>
          <w:bCs w:val="0"/>
          <w:sz w:val="21"/>
          <w:szCs w:val="21"/>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4、</w:t>
      </w:r>
      <w:r>
        <w:rPr>
          <w:rFonts w:hint="eastAsia" w:ascii="微软雅黑" w:hAnsi="微软雅黑" w:eastAsia="微软雅黑" w:cs="微软雅黑"/>
          <w:sz w:val="21"/>
          <w:szCs w:val="21"/>
        </w:rPr>
        <w:t>以“巩固认知 转化认可”为策略主线</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建立以</w:t>
      </w:r>
      <w:r>
        <w:rPr>
          <w:rFonts w:hint="eastAsia" w:ascii="微软雅黑" w:hAnsi="微软雅黑" w:eastAsia="微软雅黑" w:cs="微软雅黑"/>
          <w:b w:val="0"/>
          <w:bCs w:val="0"/>
          <w:sz w:val="21"/>
          <w:szCs w:val="21"/>
          <w:lang w:val="en-US" w:eastAsia="zh-CN"/>
        </w:rPr>
        <w:t>权威媒体平台、KOL为首传播矩阵，助力打造高流量吉祥物IP。</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执行过程/媒体表现</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1、整合线上线下资源，形成立体传播闭环。</w:t>
      </w:r>
    </w:p>
    <w:p>
      <w:pPr>
        <w:keepNext w:val="0"/>
        <w:keepLines w:val="0"/>
        <w:pageBreakBefore w:val="0"/>
        <w:numPr>
          <w:ilvl w:val="0"/>
          <w:numId w:val="0"/>
        </w:numPr>
        <w:kinsoku/>
        <w:wordWrap/>
        <w:overflowPunct/>
        <w:topLinePunct w:val="0"/>
        <w:autoSpaceDE/>
        <w:autoSpaceDN/>
        <w:bidi w:val="0"/>
        <w:adjustRightInd/>
        <w:snapToGrid/>
        <w:spacing w:before="100" w:beforeAutospacing="1" w:after="100" w:afterAutospacing="1"/>
        <w:ind w:leftChars="0"/>
        <w:textAlignment w:val="baseline"/>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2、线上充分整合权威媒体、网站门户、漫画平台、KOL、H5、CG动画等资源全方位发布推广吉祥物形象。</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3、线下充分联动奥运冠军资源举行主题发布会，助力吉祥物强势首发；整合衍生品、体彩公益公信等内容在全国各地开展创意沉浸式打卡活动，让吉祥物与</w:t>
      </w:r>
      <w:r>
        <w:rPr>
          <w:rFonts w:hint="eastAsia" w:ascii="微软雅黑" w:hAnsi="微软雅黑" w:eastAsia="微软雅黑" w:cs="微软雅黑"/>
          <w:b w:val="0"/>
          <w:bCs w:val="0"/>
          <w:sz w:val="21"/>
          <w:szCs w:val="21"/>
        </w:rPr>
        <w:t>公众零距离玩起来</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lang w:val="en-US" w:eastAsia="zh-CN"/>
        </w:rPr>
        <w:t>有效实现品牌破圈传播。</w:t>
      </w:r>
    </w:p>
    <w:p>
      <w:pPr>
        <w:keepNext w:val="0"/>
        <w:keepLines w:val="0"/>
        <w:pageBreakBefore w:val="0"/>
        <w:kinsoku/>
        <w:wordWrap/>
        <w:overflowPunct/>
        <w:topLinePunct w:val="0"/>
        <w:autoSpaceDE/>
        <w:autoSpaceDN/>
        <w:bidi w:val="0"/>
        <w:adjustRightInd/>
        <w:snapToGrid/>
        <w:spacing w:before="100" w:beforeAutospacing="1" w:after="100" w:afterAutospacing="1"/>
        <w:jc w:val="center"/>
        <w:textAlignment w:val="baseline"/>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drawing>
          <wp:inline distT="0" distB="0" distL="114300" distR="114300">
            <wp:extent cx="4579620" cy="3203575"/>
            <wp:effectExtent l="0" t="0" r="5080" b="9525"/>
            <wp:docPr id="12" name="图片 12"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3"/>
                    <pic:cNvPicPr>
                      <a:picLocks noChangeAspect="1"/>
                    </pic:cNvPicPr>
                  </pic:nvPicPr>
                  <pic:blipFill>
                    <a:blip r:embed="rId10"/>
                    <a:stretch>
                      <a:fillRect/>
                    </a:stretch>
                  </pic:blipFill>
                  <pic:spPr>
                    <a:xfrm>
                      <a:off x="0" y="0"/>
                      <a:ext cx="4579620" cy="320357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jc w:val="left"/>
        <w:textAlignment w:val="baseline"/>
        <w:rPr>
          <w:rFonts w:hint="eastAsia" w:ascii="微软雅黑" w:hAnsi="微软雅黑" w:eastAsia="微软雅黑"/>
          <w:b/>
          <w:sz w:val="21"/>
          <w:szCs w:val="21"/>
          <w:lang w:eastAsia="zh-CN"/>
        </w:rPr>
      </w:pPr>
      <w:r>
        <w:rPr>
          <w:rFonts w:hint="eastAsia" w:ascii="微软雅黑" w:hAnsi="微软雅黑" w:eastAsia="微软雅黑"/>
          <w:b/>
          <w:sz w:val="21"/>
          <w:szCs w:val="21"/>
          <w:lang w:eastAsia="zh-CN"/>
        </w:rPr>
        <w:drawing>
          <wp:inline distT="0" distB="0" distL="114300" distR="114300">
            <wp:extent cx="5716905" cy="2546350"/>
            <wp:effectExtent l="0" t="0" r="10795" b="6350"/>
            <wp:docPr id="15" name="图片 15" descr="图片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7"/>
                    <pic:cNvPicPr>
                      <a:picLocks noChangeAspect="1"/>
                    </pic:cNvPicPr>
                  </pic:nvPicPr>
                  <pic:blipFill>
                    <a:blip r:embed="rId11"/>
                    <a:stretch>
                      <a:fillRect/>
                    </a:stretch>
                  </pic:blipFill>
                  <pic:spPr>
                    <a:xfrm>
                      <a:off x="0" y="0"/>
                      <a:ext cx="5716905" cy="2546350"/>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jc w:val="center"/>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lang w:eastAsia="zh-CN"/>
        </w:rPr>
        <w:drawing>
          <wp:inline distT="0" distB="0" distL="114300" distR="114300">
            <wp:extent cx="5718810" cy="1403985"/>
            <wp:effectExtent l="0" t="0" r="8890" b="5715"/>
            <wp:docPr id="16" name="图片 16" descr="图片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8"/>
                    <pic:cNvPicPr>
                      <a:picLocks noChangeAspect="1"/>
                    </pic:cNvPicPr>
                  </pic:nvPicPr>
                  <pic:blipFill>
                    <a:blip r:embed="rId12"/>
                    <a:stretch>
                      <a:fillRect/>
                    </a:stretch>
                  </pic:blipFill>
                  <pic:spPr>
                    <a:xfrm>
                      <a:off x="0" y="0"/>
                      <a:ext cx="5718810" cy="140398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before="100" w:beforeAutospacing="1" w:after="100" w:afterAutospacing="1"/>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eastAsia="zh-CN"/>
        </w:rPr>
        <w:t>体彩吉祥物项目总结视频</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rPr>
        <w:fldChar w:fldCharType="begin"/>
      </w:r>
      <w:r>
        <w:rPr>
          <w:rFonts w:hint="eastAsia" w:ascii="微软雅黑" w:hAnsi="微软雅黑" w:eastAsia="微软雅黑" w:cs="微软雅黑"/>
          <w:b w:val="0"/>
          <w:bCs w:val="0"/>
          <w:sz w:val="21"/>
          <w:szCs w:val="21"/>
        </w:rPr>
        <w:instrText xml:space="preserve"> HYPERLINK "https://v.qq.com/x/page/l321650a1qf.html" </w:instrText>
      </w:r>
      <w:r>
        <w:rPr>
          <w:rFonts w:hint="eastAsia" w:ascii="微软雅黑" w:hAnsi="微软雅黑" w:eastAsia="微软雅黑" w:cs="微软雅黑"/>
          <w:b w:val="0"/>
          <w:bCs w:val="0"/>
          <w:sz w:val="21"/>
          <w:szCs w:val="21"/>
        </w:rPr>
        <w:fldChar w:fldCharType="separate"/>
      </w:r>
      <w:r>
        <w:rPr>
          <w:rStyle w:val="16"/>
          <w:rFonts w:hint="eastAsia" w:ascii="微软雅黑" w:hAnsi="微软雅黑" w:eastAsia="微软雅黑" w:cs="微软雅黑"/>
          <w:b w:val="0"/>
          <w:bCs w:val="0"/>
          <w:sz w:val="21"/>
          <w:szCs w:val="21"/>
        </w:rPr>
        <w:t>https://v.qq.com/x/page/l321650a1qf.html</w:t>
      </w:r>
      <w:r>
        <w:rPr>
          <w:rFonts w:hint="eastAsia" w:ascii="微软雅黑" w:hAnsi="微软雅黑" w:eastAsia="微软雅黑" w:cs="微软雅黑"/>
          <w:b w:val="0"/>
          <w:bCs w:val="0"/>
          <w:sz w:val="21"/>
          <w:szCs w:val="21"/>
        </w:rPr>
        <w:fldChar w:fldCharType="end"/>
      </w:r>
    </w:p>
    <w:p>
      <w:pPr>
        <w:keepNext w:val="0"/>
        <w:keepLines w:val="0"/>
        <w:pageBreakBefore w:val="0"/>
        <w:kinsoku/>
        <w:wordWrap/>
        <w:overflowPunct/>
        <w:topLinePunct w:val="0"/>
        <w:autoSpaceDE/>
        <w:autoSpaceDN/>
        <w:bidi w:val="0"/>
        <w:adjustRightInd/>
        <w:snapToGrid/>
        <w:spacing w:before="100" w:beforeAutospacing="1" w:after="100" w:afterAutospacing="1"/>
        <w:jc w:val="left"/>
        <w:rPr>
          <w:rFonts w:hint="default" w:ascii="微软雅黑" w:hAnsi="微软雅黑" w:eastAsia="微软雅黑"/>
          <w:b/>
          <w:sz w:val="21"/>
          <w:szCs w:val="21"/>
          <w:lang w:val="en-US" w:eastAsia="zh-CN"/>
        </w:rPr>
      </w:pPr>
      <w:r>
        <w:rPr>
          <w:rFonts w:hint="eastAsia" w:ascii="微软雅黑" w:hAnsi="微软雅黑" w:eastAsia="微软雅黑" w:cs="微软雅黑"/>
          <w:b w:val="0"/>
          <w:bCs w:val="0"/>
          <w:sz w:val="21"/>
          <w:szCs w:val="21"/>
          <w:lang w:eastAsia="zh-CN"/>
        </w:rPr>
        <w:t>体彩吉祥物动画完整片视频</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rPr>
        <w:fldChar w:fldCharType="begin"/>
      </w:r>
      <w:r>
        <w:rPr>
          <w:rFonts w:hint="eastAsia" w:ascii="微软雅黑" w:hAnsi="微软雅黑" w:eastAsia="微软雅黑" w:cs="微软雅黑"/>
          <w:b w:val="0"/>
          <w:bCs w:val="0"/>
          <w:sz w:val="21"/>
          <w:szCs w:val="21"/>
        </w:rPr>
        <w:instrText xml:space="preserve"> HYPERLINK "https://v.qq.com/x/page/e3215a1aw3c.html" </w:instrText>
      </w:r>
      <w:r>
        <w:rPr>
          <w:rFonts w:hint="eastAsia" w:ascii="微软雅黑" w:hAnsi="微软雅黑" w:eastAsia="微软雅黑" w:cs="微软雅黑"/>
          <w:b w:val="0"/>
          <w:bCs w:val="0"/>
          <w:sz w:val="21"/>
          <w:szCs w:val="21"/>
        </w:rPr>
        <w:fldChar w:fldCharType="separate"/>
      </w:r>
      <w:r>
        <w:rPr>
          <w:rStyle w:val="16"/>
          <w:rFonts w:hint="eastAsia" w:ascii="微软雅黑" w:hAnsi="微软雅黑" w:eastAsia="微软雅黑" w:cs="微软雅黑"/>
          <w:b w:val="0"/>
          <w:bCs w:val="0"/>
          <w:sz w:val="21"/>
          <w:szCs w:val="21"/>
        </w:rPr>
        <w:t>https://v.qq.com/x/page/e3215a1aw3c.html</w:t>
      </w:r>
      <w:r>
        <w:rPr>
          <w:rFonts w:hint="eastAsia" w:ascii="微软雅黑" w:hAnsi="微软雅黑" w:eastAsia="微软雅黑" w:cs="微软雅黑"/>
          <w:b w:val="0"/>
          <w:bCs w:val="0"/>
          <w:sz w:val="21"/>
          <w:szCs w:val="21"/>
        </w:rPr>
        <w:fldChar w:fldCharType="end"/>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rPr>
      </w:pPr>
      <w:r>
        <w:rPr>
          <w:rFonts w:hint="eastAsia" w:ascii="微软雅黑" w:hAnsi="微软雅黑" w:eastAsia="微软雅黑"/>
          <w:b/>
          <w:color w:val="0000FF"/>
          <w:sz w:val="28"/>
        </w:rPr>
        <w:t>营销效果与市场反馈</w:t>
      </w:r>
    </w:p>
    <w:p>
      <w:pPr>
        <w:keepNext w:val="0"/>
        <w:keepLines w:val="0"/>
        <w:pageBreakBefore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sz w:val="21"/>
          <w:szCs w:val="21"/>
        </w:rPr>
        <w:t>活动吸引</w:t>
      </w:r>
      <w:r>
        <w:rPr>
          <w:rFonts w:hint="eastAsia" w:ascii="微软雅黑" w:hAnsi="微软雅黑" w:eastAsia="微软雅黑" w:cs="微软雅黑"/>
          <w:sz w:val="21"/>
          <w:szCs w:val="21"/>
          <w:lang w:val="en-US" w:eastAsia="zh-CN"/>
        </w:rPr>
        <w:t>包含</w:t>
      </w:r>
      <w:r>
        <w:rPr>
          <w:rFonts w:hint="eastAsia" w:ascii="微软雅黑" w:hAnsi="微软雅黑" w:eastAsia="微软雅黑" w:cs="微软雅黑"/>
          <w:sz w:val="21"/>
          <w:szCs w:val="21"/>
        </w:rPr>
        <w:t>八大美院</w:t>
      </w:r>
      <w:r>
        <w:rPr>
          <w:rFonts w:hint="eastAsia" w:ascii="微软雅黑" w:hAnsi="微软雅黑" w:eastAsia="微软雅黑" w:cs="微软雅黑"/>
          <w:sz w:val="21"/>
          <w:szCs w:val="21"/>
          <w:lang w:val="en-US" w:eastAsia="zh-CN"/>
        </w:rPr>
        <w:t>在内的</w:t>
      </w:r>
      <w:r>
        <w:rPr>
          <w:rFonts w:hint="eastAsia" w:ascii="微软雅黑" w:hAnsi="微软雅黑" w:eastAsia="微软雅黑" w:cs="微软雅黑"/>
          <w:sz w:val="21"/>
          <w:szCs w:val="21"/>
        </w:rPr>
        <w:t>50余所设计专业高校</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站酷平台3174位专业设计师</w:t>
      </w:r>
      <w:r>
        <w:rPr>
          <w:rFonts w:hint="eastAsia" w:ascii="微软雅黑" w:hAnsi="微软雅黑" w:eastAsia="微软雅黑" w:cs="微软雅黑"/>
          <w:sz w:val="21"/>
          <w:szCs w:val="21"/>
        </w:rPr>
        <w:t>参与，创造出符合品牌形象和年轻群体审美的体彩吉祥物。</w:t>
      </w:r>
    </w:p>
    <w:p>
      <w:pPr>
        <w:pStyle w:val="21"/>
        <w:keepNext w:val="0"/>
        <w:keepLines w:val="0"/>
        <w:pageBreakBefore w:val="0"/>
        <w:kinsoku/>
        <w:wordWrap/>
        <w:overflowPunct/>
        <w:topLinePunct w:val="0"/>
        <w:autoSpaceDE/>
        <w:autoSpaceDN/>
        <w:bidi w:val="0"/>
        <w:adjustRightInd/>
        <w:snapToGrid/>
        <w:spacing w:before="100" w:beforeAutospacing="1" w:after="100" w:afterAutospacing="1"/>
        <w:ind w:left="0" w:leftChars="0" w:firstLine="0" w:firstLineChars="0"/>
        <w:jc w:val="both"/>
        <w:rPr>
          <w:rFonts w:ascii="微软雅黑" w:hAnsi="微软雅黑" w:eastAsia="微软雅黑"/>
          <w:color w:val="FF0000"/>
          <w:szCs w:val="21"/>
        </w:rPr>
      </w:pPr>
      <w:r>
        <w:rPr>
          <w:rFonts w:hint="eastAsia" w:ascii="微软雅黑" w:hAnsi="微软雅黑" w:eastAsia="微软雅黑" w:cs="微软雅黑"/>
          <w:sz w:val="21"/>
          <w:szCs w:val="21"/>
          <w:lang w:val="en-US" w:eastAsia="zh-CN"/>
        </w:rPr>
        <w:t>2、吸引</w:t>
      </w:r>
      <w:r>
        <w:rPr>
          <w:rFonts w:hint="eastAsia" w:ascii="微软雅黑" w:hAnsi="微软雅黑" w:eastAsia="微软雅黑" w:cs="微软雅黑"/>
          <w:sz w:val="21"/>
          <w:szCs w:val="21"/>
        </w:rPr>
        <w:t>超680万人次观看发布会，超30万人参与落地活动，权威平面媒体曝光量超400万，整体曝光量超20亿次，有效实现品牌破圈传播。</w:t>
      </w: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6F77EEE"/>
    <w:rsid w:val="0B571829"/>
    <w:rsid w:val="21F33DCE"/>
    <w:rsid w:val="38A03E20"/>
    <w:rsid w:val="6E6E3C78"/>
    <w:rsid w:val="70966E7E"/>
    <w:rsid w:val="71C1238D"/>
    <w:rsid w:val="78E6542F"/>
    <w:rsid w:val="7FA42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4">
    <w:name w:val="Plain Text"/>
    <w:basedOn w:val="1"/>
    <w:qFormat/>
    <w:uiPriority w:val="0"/>
    <w:rPr>
      <w:rFonts w:ascii="Arial" w:hAnsi="Arial" w:cs="Times New Roman"/>
      <w:sz w:val="18"/>
      <w:szCs w:val="20"/>
    </w:rPr>
  </w:style>
  <w:style w:type="paragraph" w:styleId="5">
    <w:name w:val="Balloon Text"/>
    <w:basedOn w:val="1"/>
    <w:link w:val="25"/>
    <w:semiHidden/>
    <w:unhideWhenUsed/>
    <w:qFormat/>
    <w:uiPriority w:val="99"/>
    <w:rPr>
      <w:sz w:val="18"/>
      <w:szCs w:val="18"/>
    </w:rPr>
  </w:style>
  <w:style w:type="paragraph" w:styleId="6">
    <w:name w:val="footer"/>
    <w:basedOn w:val="1"/>
    <w:qFormat/>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7">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8">
    <w:name w:val="Normal (Web)"/>
    <w:basedOn w:val="1"/>
    <w:qFormat/>
    <w:uiPriority w:val="0"/>
    <w:pPr>
      <w:spacing w:before="100" w:beforeAutospacing="1" w:after="100" w:afterAutospacing="1"/>
    </w:pPr>
    <w:rPr>
      <w:rFonts w:cs="Times New Roman"/>
      <w:szCs w:val="20"/>
    </w:rPr>
  </w:style>
  <w:style w:type="paragraph" w:styleId="9">
    <w:name w:val="Title"/>
    <w:basedOn w:val="1"/>
    <w:link w:val="17"/>
    <w:qFormat/>
    <w:uiPriority w:val="0"/>
    <w:pPr>
      <w:jc w:val="center"/>
    </w:pPr>
    <w:rPr>
      <w:rFonts w:ascii="Times New Roman" w:hAnsi="Times New Roman" w:cs="Times New Roman"/>
      <w:b/>
      <w:kern w:val="2"/>
      <w:sz w:val="28"/>
      <w:szCs w:val="20"/>
      <w:lang w:eastAsia="en-U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9"/>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2">
    <w:name w:val="p0"/>
    <w:basedOn w:val="1"/>
    <w:qFormat/>
    <w:uiPriority w:val="0"/>
    <w:pPr>
      <w:jc w:val="both"/>
    </w:pPr>
    <w:rPr>
      <w:rFonts w:ascii="Times New Roman" w:hAnsi="Times New Roman" w:cs="Times New Roman"/>
      <w:sz w:val="21"/>
      <w:szCs w:val="20"/>
    </w:rPr>
  </w:style>
  <w:style w:type="paragraph" w:customStyle="1" w:styleId="23">
    <w:name w:val="css"/>
    <w:basedOn w:val="1"/>
    <w:qFormat/>
    <w:uiPriority w:val="0"/>
    <w:pPr>
      <w:spacing w:before="100" w:beforeAutospacing="1" w:after="100" w:afterAutospacing="1"/>
    </w:pPr>
    <w:rPr>
      <w:rFonts w:cs="Times New Roman"/>
      <w:color w:val="0F0000"/>
      <w:sz w:val="18"/>
      <w:szCs w:val="20"/>
    </w:rPr>
  </w:style>
  <w:style w:type="paragraph" w:customStyle="1" w:styleId="24">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5">
    <w:name w:val="批注框文本 字符"/>
    <w:basedOn w:val="12"/>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143</Words>
  <Characters>818</Characters>
  <Lines>6</Lines>
  <Paragraphs>1</Paragraphs>
  <TotalTime>2</TotalTime>
  <ScaleCrop>false</ScaleCrop>
  <LinksUpToDate>false</LinksUpToDate>
  <CharactersWithSpaces>960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2015-11-23T07:28:00Z</dcterms:created>
  <dc:creator>雨林木风</dc:creator>
  <cp:lastModifiedBy>有点慢</cp:lastModifiedBy>
  <cp:lastPrinted>2012-10-11T08:46:00Z</cp:lastPrinted>
  <dcterms:modified xsi:type="dcterms:W3CDTF">2021-01-28T08:11:59Z</dcterms:modified>
  <dc:title>No</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