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梯之星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/>
          <w:b w:val="0"/>
          <w:bCs/>
        </w:rPr>
        <w:fldChar w:fldCharType="begin"/>
      </w:r>
      <w:r>
        <w:rPr>
          <w:rFonts w:hint="eastAsia" w:ascii="微软雅黑" w:hAnsi="微软雅黑" w:eastAsia="微软雅黑"/>
          <w:b w:val="0"/>
          <w:bCs/>
        </w:rPr>
        <w:instrText xml:space="preserve"> HYPERLINK "https://www.tizhixing.com" </w:instrText>
      </w:r>
      <w:r>
        <w:rPr>
          <w:rFonts w:hint="eastAsia" w:ascii="微软雅黑" w:hAnsi="微软雅黑" w:eastAsia="微软雅黑"/>
          <w:b w:val="0"/>
          <w:bCs/>
        </w:rPr>
        <w:fldChar w:fldCharType="separate"/>
      </w:r>
      <w:r>
        <w:rPr>
          <w:rStyle w:val="15"/>
          <w:rFonts w:hint="eastAsia" w:ascii="微软雅黑" w:hAnsi="微软雅黑" w:eastAsia="微软雅黑"/>
          <w:b w:val="0"/>
          <w:bCs/>
        </w:rPr>
        <w:t>https://www.tizhixing.com</w:t>
      </w:r>
      <w:r>
        <w:rPr>
          <w:rFonts w:hint="eastAsia" w:ascii="微软雅黑" w:hAnsi="微软雅黑" w:eastAsia="微软雅黑"/>
          <w:b w:val="0"/>
          <w:bCs/>
        </w:rPr>
        <w:fldChar w:fldCharType="end"/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bookmarkStart w:id="0" w:name="_GoBack"/>
      <w:r>
        <w:rPr>
          <w:rFonts w:hint="eastAsia" w:ascii="微软雅黑" w:hAnsi="微软雅黑" w:eastAsia="微软雅黑"/>
          <w:color w:val="auto"/>
        </w:rPr>
        <w:t>年度数字营销影响力技术公司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空梯不收费，有AI梯之星！梯之星为浙江新再灵科技股份有限公司控股子公司，新再灵科技成立于2007年，专注于智慧电梯领域，是国内领先的智慧电梯技术创新型企业。现员工人数1000+ 拥有杭州滨江研发中心、上海媒体运营中心、上海研发中心、复旦大学联合实验室、全国业务中心(深圳）以及智能制造工厂。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梯之星作为一家专注数据挖掘的线下社区流量入口，基于新再灵独家云梯技术，通过“物联网+人工智能+大数据”，赋能传统梯媒，解决投放痛点，做到实时在线、精准投放和及时反馈，实现了品牌方、内容方、乘梯方三方共赢。在梯之星的电梯场景中，品牌方可获得更好的投放效果，内容方能得到更好的流量变现效率，乘梯方有更好的用户体验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21"/>
          <w:lang w:val="en-US" w:eastAsia="zh-CN"/>
        </w:rPr>
        <w:drawing>
          <wp:inline distT="0" distB="0" distL="114300" distR="114300">
            <wp:extent cx="4530090" cy="2004695"/>
            <wp:effectExtent l="0" t="0" r="3810" b="14605"/>
            <wp:docPr id="1" name="图片 1" descr="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梯之星作为智慧梯媒，为了解决品牌商的投放痛点，让其广告费用“投得其所”，率先将CPR（cost-per-reach，按触达人次付费）模式运用于线下广告，既让线下社区流量变得更有价值，又颠覆了传统电梯媒体的收费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梯之星智能云梯+梯内智能显示屏目前覆盖全国95个城市，15万个终端点位，多元化楼盘属性包括住宅，写字楼，商住楼，商业综合体，学校、酒店及政府机关等优质点位，日均覆盖1.5亿精准人群。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梯之星将电梯变为了场景化的数字展示空间，梯之星的的</w:t>
      </w:r>
      <w:r>
        <w:rPr>
          <w:rFonts w:hint="eastAsia" w:ascii="微软雅黑" w:hAnsi="微软雅黑" w:eastAsia="微软雅黑"/>
        </w:rPr>
        <w:t>媒体广告投放能达成与互联网媒体相同标准的投放精准化、计费标准化、效果可优化和监测透明化：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  <w:b w:val="0"/>
          <w:bCs w:val="0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/>
        </w:rPr>
        <w:t>区别于“无差别”的电梯广告投放形式，提高“千人千面”的广告投放适配度。</w:t>
      </w:r>
      <w:r>
        <w:rPr>
          <w:rFonts w:hint="eastAsia" w:ascii="微软雅黑" w:hAnsi="微软雅黑" w:eastAsia="微软雅黑"/>
          <w:b w:val="0"/>
          <w:bCs w:val="0"/>
        </w:rPr>
        <w:t>梯之星能根据电梯实时监控，识别进入电梯的用户的自然属性（比如：性别、年龄、身高等）和外观属性（体形、穿着等）并叠加用户特殊的行为属性（是否背包、是否怀孕等）划分用户类型，结合大数据用户画像，将广告精准投放至广告主的定位投放人群，实现“千人千面”的电梯广告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</w:pPr>
      <w:r>
        <w:drawing>
          <wp:inline distT="0" distB="0" distL="114300" distR="114300">
            <wp:extent cx="4476750" cy="2424430"/>
            <wp:effectExtent l="0" t="0" r="0" b="139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/>
        </w:rPr>
        <w:t>创新CPR（Cost Per Reach,按千人次</w:t>
      </w:r>
      <w:r>
        <w:rPr>
          <w:rFonts w:hint="eastAsia" w:ascii="微软雅黑" w:hAnsi="微软雅黑" w:eastAsia="微软雅黑"/>
          <w:b/>
          <w:bCs/>
          <w:lang w:val="en-US" w:eastAsia="zh-CN"/>
        </w:rPr>
        <w:t>触达</w:t>
      </w:r>
      <w:r>
        <w:rPr>
          <w:rFonts w:hint="eastAsia" w:ascii="微软雅黑" w:hAnsi="微软雅黑" w:eastAsia="微软雅黑"/>
          <w:b/>
          <w:bCs/>
        </w:rPr>
        <w:t>售卖）电梯广告投放形式，节省无效广告费用：</w:t>
      </w:r>
      <w:r>
        <w:rPr>
          <w:rFonts w:hint="eastAsia" w:ascii="微软雅黑" w:hAnsi="微软雅黑" w:eastAsia="微软雅黑"/>
        </w:rPr>
        <w:t>改变以往的CPD（按天收费）、CPW（按周收费）时段</w:t>
      </w:r>
      <w:r>
        <w:rPr>
          <w:rFonts w:hint="eastAsia" w:ascii="微软雅黑" w:hAnsi="微软雅黑" w:eastAsia="微软雅黑"/>
          <w:lang w:val="en-US" w:eastAsia="zh-CN"/>
        </w:rPr>
        <w:t>曝光</w:t>
      </w:r>
      <w:r>
        <w:rPr>
          <w:rFonts w:hint="eastAsia" w:ascii="微软雅黑" w:hAnsi="微软雅黑" w:eastAsia="微软雅黑"/>
        </w:rPr>
        <w:t>收费形式，梯之星推出“分时分段”投放，并进一步“按</w:t>
      </w:r>
      <w:r>
        <w:rPr>
          <w:rFonts w:hint="eastAsia" w:ascii="微软雅黑" w:hAnsi="微软雅黑" w:eastAsia="微软雅黑"/>
          <w:lang w:val="en-US" w:eastAsia="zh-CN"/>
        </w:rPr>
        <w:t>触达</w:t>
      </w:r>
      <w:r>
        <w:rPr>
          <w:rFonts w:hint="eastAsia" w:ascii="微软雅黑" w:hAnsi="微软雅黑" w:eastAsia="微软雅黑"/>
        </w:rPr>
        <w:t>人次收费”（Cost Per Reach,按千人次</w:t>
      </w:r>
      <w:r>
        <w:rPr>
          <w:rFonts w:hint="eastAsia" w:ascii="微软雅黑" w:hAnsi="微软雅黑" w:eastAsia="微软雅黑"/>
          <w:lang w:val="en-US" w:eastAsia="zh-CN"/>
        </w:rPr>
        <w:t>触达</w:t>
      </w:r>
      <w:r>
        <w:rPr>
          <w:rFonts w:hint="eastAsia" w:ascii="微软雅黑" w:hAnsi="微软雅黑" w:eastAsia="微软雅黑"/>
        </w:rPr>
        <w:t>售卖），广告费用按</w:t>
      </w:r>
      <w:r>
        <w:rPr>
          <w:rFonts w:hint="eastAsia" w:ascii="微软雅黑" w:hAnsi="微软雅黑" w:eastAsia="微软雅黑"/>
          <w:lang w:val="en-US" w:eastAsia="zh-CN"/>
        </w:rPr>
        <w:t>触达</w:t>
      </w:r>
      <w:r>
        <w:rPr>
          <w:rFonts w:hint="eastAsia" w:ascii="微软雅黑" w:hAnsi="微软雅黑" w:eastAsia="微软雅黑"/>
        </w:rPr>
        <w:t>人次收费，为客户节省广告支出，提高广告主的资金投放效率。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3、</w:t>
      </w:r>
      <w:r>
        <w:rPr>
          <w:rFonts w:hint="eastAsia" w:ascii="微软雅黑" w:hAnsi="微软雅黑" w:eastAsia="微软雅黑"/>
          <w:b/>
          <w:bCs/>
        </w:rPr>
        <w:t>引入曝光竞价和反馈机制，提高广告投放效率：</w:t>
      </w:r>
      <w:r>
        <w:rPr>
          <w:rFonts w:hint="eastAsia" w:ascii="微软雅黑" w:hAnsi="微软雅黑" w:eastAsia="微软雅黑"/>
        </w:rPr>
        <w:t>梯之星为细化颗粒度的目标客户群广告投放提供竞价系统，并开放用户随时查刊、修改投放机制，及时更新广告内容，进一步便利广告主及时调整广告投放策略。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4、</w:t>
      </w:r>
      <w:r>
        <w:rPr>
          <w:rFonts w:hint="eastAsia" w:ascii="微软雅黑" w:hAnsi="微软雅黑" w:eastAsia="微软雅黑"/>
          <w:b/>
          <w:bCs/>
        </w:rPr>
        <w:t>开放第三方监播公司链数据备份, 对抗传统梯媒的“假流量”：</w:t>
      </w:r>
      <w:r>
        <w:rPr>
          <w:rFonts w:hint="eastAsia" w:ascii="微软雅黑" w:hAnsi="微软雅黑" w:eastAsia="微软雅黑"/>
        </w:rPr>
        <w:t>梯之星为广告主提供实时监播数据画面 ，使广告主可以溯源每一次播放的监播照片，确保投放广告数据真实、可监控追溯，为品牌资产化提供支撑。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梯之星的服务品牌已经横跨酒类、汽车、日化、互联网、电商平台、游戏、金融、线上医疗和教育、保险、大健康等多品类。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主要客户有：</w:t>
      </w:r>
      <w:r>
        <w:rPr>
          <w:rFonts w:hint="eastAsia" w:ascii="微软雅黑" w:hAnsi="微软雅黑" w:eastAsia="微软雅黑"/>
          <w:sz w:val="21"/>
          <w:szCs w:val="21"/>
        </w:rPr>
        <w:t>英菲尼迪、奔驰、奥迪、大金空调、松下电器、海尔、美赞臣、智联招聘、BOSS直聘、肯德基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等。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6185384"/>
    <w:rsid w:val="09655BBA"/>
    <w:rsid w:val="0AEF166B"/>
    <w:rsid w:val="112E08D1"/>
    <w:rsid w:val="113C6FA3"/>
    <w:rsid w:val="122E0A2A"/>
    <w:rsid w:val="156D43CC"/>
    <w:rsid w:val="17F8160B"/>
    <w:rsid w:val="19BE4292"/>
    <w:rsid w:val="1A3D79CB"/>
    <w:rsid w:val="1A7B091B"/>
    <w:rsid w:val="1D496CC2"/>
    <w:rsid w:val="1F936084"/>
    <w:rsid w:val="20896E85"/>
    <w:rsid w:val="214D2E01"/>
    <w:rsid w:val="22C74117"/>
    <w:rsid w:val="233B3756"/>
    <w:rsid w:val="24401049"/>
    <w:rsid w:val="27040EDA"/>
    <w:rsid w:val="288E1458"/>
    <w:rsid w:val="28953A5D"/>
    <w:rsid w:val="2B152E4E"/>
    <w:rsid w:val="2BE66394"/>
    <w:rsid w:val="30996A2F"/>
    <w:rsid w:val="317D72E4"/>
    <w:rsid w:val="3B0340C4"/>
    <w:rsid w:val="3BD00EDD"/>
    <w:rsid w:val="3C964980"/>
    <w:rsid w:val="3E595FD0"/>
    <w:rsid w:val="3EAD3E76"/>
    <w:rsid w:val="42922B99"/>
    <w:rsid w:val="429B0425"/>
    <w:rsid w:val="46D331F7"/>
    <w:rsid w:val="46E95243"/>
    <w:rsid w:val="491D1AE8"/>
    <w:rsid w:val="4AAE61B0"/>
    <w:rsid w:val="4AAF0004"/>
    <w:rsid w:val="4CC07422"/>
    <w:rsid w:val="4F771A68"/>
    <w:rsid w:val="515E60D7"/>
    <w:rsid w:val="53E15CB7"/>
    <w:rsid w:val="549965CA"/>
    <w:rsid w:val="579673DC"/>
    <w:rsid w:val="57A307B5"/>
    <w:rsid w:val="5ACA63B7"/>
    <w:rsid w:val="5AE16629"/>
    <w:rsid w:val="5B7A16CC"/>
    <w:rsid w:val="5D6C55FE"/>
    <w:rsid w:val="62DA4CF0"/>
    <w:rsid w:val="65B35F7F"/>
    <w:rsid w:val="677E7540"/>
    <w:rsid w:val="683C16EF"/>
    <w:rsid w:val="69357A50"/>
    <w:rsid w:val="6B2D445F"/>
    <w:rsid w:val="6CA45439"/>
    <w:rsid w:val="6CAE34E4"/>
    <w:rsid w:val="71F33AB3"/>
    <w:rsid w:val="728A3EB9"/>
    <w:rsid w:val="73D057C1"/>
    <w:rsid w:val="74AA4FD1"/>
    <w:rsid w:val="75296AE5"/>
    <w:rsid w:val="77007F27"/>
    <w:rsid w:val="783C6EA9"/>
    <w:rsid w:val="7C7755A9"/>
    <w:rsid w:val="7D3A7E36"/>
    <w:rsid w:val="7EA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8EECE-A8F3-0444-AFF6-3B2C4B9DD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有点慢</cp:lastModifiedBy>
  <cp:lastPrinted>2013-11-12T01:54:00Z</cp:lastPrinted>
  <dcterms:modified xsi:type="dcterms:W3CDTF">2021-02-04T09:49:25Z</dcterms:modified>
  <dc:title>No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