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6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 xml:space="preserve">“Dice Kayek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安慕希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悦游”时尚跨界三方联名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安慕希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.02.</w:t>
      </w:r>
      <w:r>
        <w:rPr>
          <w:rFonts w:ascii="微软雅黑" w:hAnsi="微软雅黑" w:eastAsia="微软雅黑"/>
          <w:sz w:val="21"/>
          <w:szCs w:val="21"/>
        </w:rPr>
        <w:t>29</w:t>
      </w:r>
      <w:r>
        <w:rPr>
          <w:rFonts w:hint="eastAsia" w:ascii="微软雅黑" w:hAnsi="微软雅黑" w:eastAsia="微软雅黑"/>
          <w:sz w:val="21"/>
          <w:szCs w:val="21"/>
        </w:rPr>
        <w:t>-03.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 w:val="0"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u w:val="none"/>
        </w:rPr>
        <w:t>项目</w:t>
      </w:r>
      <w:r>
        <w:rPr>
          <w:rFonts w:ascii="微软雅黑" w:hAnsi="微软雅黑" w:eastAsia="微软雅黑"/>
          <w:b/>
          <w:bCs w:val="0"/>
          <w:sz w:val="21"/>
          <w:szCs w:val="21"/>
          <w:u w:val="none"/>
        </w:rPr>
        <w:t>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安慕希是伊利集团旗下的常温酸奶品牌，市场遍布全球，在品牌力份额方面，安慕希持续占位中国常温液体乳品品类第一，在迅猛的发展中奠定了安慕希就是希腊酸奶，希腊酸奶是国际“最好酸奶”</w:t>
      </w:r>
      <w:r>
        <w:rPr>
          <w:rFonts w:ascii="微软雅黑" w:hAnsi="微软雅黑" w:eastAsia="微软雅黑"/>
          <w:sz w:val="21"/>
          <w:szCs w:val="21"/>
        </w:rPr>
        <w:t xml:space="preserve"> 的代名词，并于2019年进军港澳、布局新加坡为首的东南亚六国，同时成为唯一销售额突破200亿大关的独立子品牌，强势站位亚洲高端酸奶第一品牌。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在品牌力上，安慕希已成功占据“高端”“美味”标签，但和“时尚”一直还有距离。所以借助</w:t>
      </w:r>
      <w:r>
        <w:rPr>
          <w:rFonts w:ascii="微软雅黑" w:hAnsi="微软雅黑" w:eastAsia="微软雅黑"/>
          <w:sz w:val="21"/>
          <w:szCs w:val="21"/>
        </w:rPr>
        <w:t>2020年初新口味上市和巴黎时装周的契机，一举攻占时尚领域。</w:t>
      </w:r>
      <w:r>
        <w:drawing>
          <wp:inline distT="0" distB="0" distL="0" distR="0">
            <wp:extent cx="5720715" cy="31642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挑战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 w:cs="Arial"/>
          <w:sz w:val="21"/>
          <w:szCs w:val="21"/>
        </w:rPr>
      </w:pPr>
      <w:r>
        <w:rPr>
          <w:rFonts w:ascii="微软雅黑" w:hAnsi="微软雅黑" w:eastAsia="微软雅黑" w:cs="Arial"/>
          <w:sz w:val="21"/>
          <w:szCs w:val="21"/>
        </w:rPr>
        <w:t>安慕希已经进入以品牌力带动生意的重要阶段</w:t>
      </w:r>
      <w:r>
        <w:rPr>
          <w:rFonts w:hint="eastAsia" w:ascii="微软雅黑" w:hAnsi="微软雅黑" w:eastAsia="微软雅黑" w:cs="Arial"/>
          <w:sz w:val="21"/>
          <w:szCs w:val="21"/>
        </w:rPr>
        <w:t>，</w:t>
      </w:r>
      <w:r>
        <w:rPr>
          <w:rFonts w:ascii="微软雅黑" w:hAnsi="微软雅黑" w:eastAsia="微软雅黑" w:cs="Arial"/>
          <w:sz w:val="21"/>
          <w:szCs w:val="21"/>
        </w:rPr>
        <w:t>国内乳制品行业的时尚标签化竞争</w:t>
      </w:r>
      <w:r>
        <w:rPr>
          <w:rFonts w:hint="eastAsia" w:ascii="微软雅黑" w:hAnsi="微软雅黑" w:eastAsia="微软雅黑" w:cs="Arial"/>
          <w:sz w:val="21"/>
          <w:szCs w:val="21"/>
        </w:rPr>
        <w:t>也</w:t>
      </w:r>
      <w:r>
        <w:rPr>
          <w:rFonts w:ascii="微软雅黑" w:hAnsi="微软雅黑" w:eastAsia="微软雅黑" w:cs="Arial"/>
          <w:sz w:val="21"/>
          <w:szCs w:val="21"/>
        </w:rPr>
        <w:t>已经开始</w:t>
      </w:r>
      <w:r>
        <w:rPr>
          <w:rFonts w:hint="eastAsia" w:ascii="微软雅黑" w:hAnsi="微软雅黑" w:eastAsia="微软雅黑" w:cs="Arial"/>
          <w:sz w:val="21"/>
          <w:szCs w:val="21"/>
        </w:rPr>
        <w:t>，在快消与时尚跨界不乏先例的</w:t>
      </w:r>
      <w:r>
        <w:rPr>
          <w:rFonts w:ascii="微软雅黑" w:hAnsi="微软雅黑" w:eastAsia="微软雅黑" w:cs="Arial"/>
          <w:sz w:val="21"/>
          <w:szCs w:val="21"/>
        </w:rPr>
        <w:t>时局下</w:t>
      </w:r>
      <w:r>
        <w:rPr>
          <w:rFonts w:hint="eastAsia" w:ascii="微软雅黑" w:hAnsi="微软雅黑" w:eastAsia="微软雅黑" w:cs="Arial"/>
          <w:sz w:val="21"/>
          <w:szCs w:val="21"/>
        </w:rPr>
        <w:t>，作为安慕希进入时尚界的第一仗，如何能一举吸睛？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完成首次时尚亮相，提升品牌声量，赋能安慕希，提升并延展品牌力，以带动生意，继续布局高端即饮市场，帮助提升安慕希</w:t>
      </w:r>
      <w:r>
        <w:rPr>
          <w:rFonts w:ascii="微软雅黑" w:hAnsi="微软雅黑" w:eastAsia="微软雅黑"/>
          <w:sz w:val="21"/>
          <w:szCs w:val="21"/>
        </w:rPr>
        <w:t>2020年常温酸奶市场份额，通过跨界时尚，发布安慕希新品，牢牢稳固品类领军地位。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策略</w:t>
      </w:r>
      <w:r>
        <w:rPr>
          <w:rFonts w:ascii="微软雅黑" w:hAnsi="微软雅黑" w:eastAsia="微软雅黑"/>
          <w:b/>
          <w:sz w:val="21"/>
          <w:szCs w:val="21"/>
          <w:u w:val="single"/>
        </w:rPr>
        <w:t>推导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最新</w:t>
      </w:r>
      <w:r>
        <w:rPr>
          <w:rFonts w:ascii="微软雅黑" w:hAnsi="微软雅黑" w:eastAsia="微软雅黑"/>
          <w:szCs w:val="21"/>
        </w:rPr>
        <w:t>的时尚</w:t>
      </w:r>
      <w:r>
        <w:rPr>
          <w:rFonts w:hint="eastAsia" w:ascii="微软雅黑" w:hAnsi="微软雅黑" w:eastAsia="微软雅黑"/>
          <w:szCs w:val="21"/>
        </w:rPr>
        <w:t>风向标</w:t>
      </w:r>
      <w:r>
        <w:rPr>
          <w:rFonts w:ascii="微软雅黑" w:hAnsi="微软雅黑" w:eastAsia="微软雅黑"/>
          <w:szCs w:val="21"/>
        </w:rPr>
        <w:t>是什么？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="Arial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37835" cy="2992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6743" cy="29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其他非</w:t>
      </w:r>
      <w:r>
        <w:rPr>
          <w:rFonts w:ascii="微软雅黑" w:hAnsi="微软雅黑" w:eastAsia="微软雅黑"/>
          <w:szCs w:val="21"/>
        </w:rPr>
        <w:t>时装</w:t>
      </w:r>
      <w:r>
        <w:rPr>
          <w:rFonts w:hint="eastAsia" w:ascii="微软雅黑" w:hAnsi="微软雅黑" w:eastAsia="微软雅黑"/>
          <w:szCs w:val="21"/>
        </w:rPr>
        <w:t>品牌的时尚</w:t>
      </w:r>
      <w:r>
        <w:rPr>
          <w:rFonts w:ascii="微软雅黑" w:hAnsi="微软雅黑" w:eastAsia="微软雅黑"/>
          <w:szCs w:val="21"/>
        </w:rPr>
        <w:t>跨界</w:t>
      </w:r>
      <w:r>
        <w:rPr>
          <w:rFonts w:hint="eastAsia" w:ascii="微软雅黑" w:hAnsi="微软雅黑" w:eastAsia="微软雅黑"/>
          <w:szCs w:val="21"/>
        </w:rPr>
        <w:t>对安慕希</w:t>
      </w:r>
      <w:r>
        <w:rPr>
          <w:rFonts w:ascii="微软雅黑" w:hAnsi="微软雅黑" w:eastAsia="微软雅黑"/>
          <w:szCs w:val="21"/>
        </w:rPr>
        <w:t>有哪些启示？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="Arial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03545" cy="2450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2768" b="17546"/>
                    <a:stretch>
                      <a:fillRect/>
                    </a:stretch>
                  </pic:blipFill>
                  <pic:spPr>
                    <a:xfrm>
                      <a:off x="0" y="0"/>
                      <a:ext cx="5517239" cy="2456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sz w:val="21"/>
          <w:szCs w:val="21"/>
        </w:rPr>
      </w:pP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如何找到安慕希</w:t>
      </w:r>
      <w:r>
        <w:rPr>
          <w:rFonts w:ascii="微软雅黑" w:hAnsi="微软雅黑" w:eastAsia="微软雅黑"/>
          <w:szCs w:val="21"/>
        </w:rPr>
        <w:t>的差异化</w:t>
      </w:r>
      <w:r>
        <w:rPr>
          <w:rFonts w:hint="eastAsia" w:ascii="微软雅黑" w:hAnsi="微软雅黑" w:eastAsia="微软雅黑"/>
          <w:szCs w:val="21"/>
        </w:rPr>
        <w:t>机会点</w:t>
      </w:r>
      <w:r>
        <w:rPr>
          <w:rFonts w:ascii="微软雅黑" w:hAnsi="微软雅黑" w:eastAsia="微软雅黑"/>
          <w:szCs w:val="21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theme="majorHAnsi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477510" cy="2359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3415"/>
                    <a:stretch>
                      <a:fillRect/>
                    </a:stretch>
                  </pic:blipFill>
                  <pic:spPr>
                    <a:xfrm>
                      <a:off x="0" y="0"/>
                      <a:ext cx="5494678" cy="23663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如何寻找</w:t>
      </w:r>
      <w:r>
        <w:rPr>
          <w:rFonts w:ascii="微软雅黑" w:hAnsi="微软雅黑" w:eastAsia="微软雅黑"/>
          <w:szCs w:val="21"/>
        </w:rPr>
        <w:t>安慕希的差异化角度？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="Arial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28945" cy="22783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rcRect t="4900" b="4458"/>
                    <a:stretch>
                      <a:fillRect/>
                    </a:stretch>
                  </pic:blipFill>
                  <pic:spPr>
                    <a:xfrm>
                      <a:off x="0" y="0"/>
                      <a:ext cx="5536031" cy="2281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如何打通</w:t>
      </w:r>
      <w:r>
        <w:rPr>
          <w:rFonts w:ascii="微软雅黑" w:hAnsi="微软雅黑" w:eastAsia="微软雅黑"/>
          <w:szCs w:val="21"/>
        </w:rPr>
        <w:t>整条传播</w:t>
      </w:r>
      <w:r>
        <w:rPr>
          <w:rFonts w:hint="eastAsia" w:ascii="微软雅黑" w:hAnsi="微软雅黑" w:eastAsia="微软雅黑"/>
          <w:szCs w:val="21"/>
        </w:rPr>
        <w:t>链路</w:t>
      </w:r>
      <w:r>
        <w:rPr>
          <w:rFonts w:ascii="微软雅黑" w:hAnsi="微软雅黑" w:eastAsia="微软雅黑"/>
          <w:szCs w:val="21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theme="majorHAnsi"/>
          <w:bCs/>
          <w:color w:val="FF0000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97475" cy="2865120"/>
            <wp:effectExtent l="0" t="0" r="317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t="3153" b="3183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865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内容</w:t>
      </w:r>
      <w:r>
        <w:rPr>
          <w:rFonts w:ascii="微软雅黑" w:hAnsi="微软雅黑" w:eastAsia="微软雅黑"/>
          <w:szCs w:val="21"/>
        </w:rPr>
        <w:t>产出</w:t>
      </w:r>
      <w:r>
        <w:rPr>
          <w:rFonts w:hint="eastAsia" w:ascii="微软雅黑" w:hAnsi="微软雅黑" w:eastAsia="微软雅黑"/>
          <w:szCs w:val="21"/>
        </w:rPr>
        <w:t>后，</w:t>
      </w:r>
      <w:r>
        <w:rPr>
          <w:rFonts w:ascii="微软雅黑" w:hAnsi="微软雅黑" w:eastAsia="微软雅黑"/>
          <w:szCs w:val="21"/>
        </w:rPr>
        <w:t>高端时尚如何</w:t>
      </w:r>
      <w:r>
        <w:rPr>
          <w:rFonts w:hint="eastAsia" w:ascii="微软雅黑" w:hAnsi="微软雅黑" w:eastAsia="微软雅黑"/>
          <w:szCs w:val="21"/>
        </w:rPr>
        <w:t>在国内</w:t>
      </w:r>
      <w:r>
        <w:rPr>
          <w:rFonts w:ascii="微软雅黑" w:hAnsi="微软雅黑" w:eastAsia="微软雅黑"/>
          <w:szCs w:val="21"/>
        </w:rPr>
        <w:t>落地</w:t>
      </w:r>
      <w:r>
        <w:rPr>
          <w:rFonts w:hint="eastAsia" w:ascii="微软雅黑" w:hAnsi="微软雅黑" w:eastAsia="微软雅黑"/>
          <w:szCs w:val="21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Arial"/>
          <w:sz w:val="22"/>
          <w:szCs w:val="20"/>
        </w:rPr>
      </w:pPr>
      <w:r>
        <w:rPr>
          <w:rFonts w:ascii="微软雅黑" w:hAnsi="微软雅黑" w:eastAsia="微软雅黑" w:cs="Arial"/>
          <w:sz w:val="22"/>
          <w:szCs w:val="20"/>
        </w:rPr>
        <w:drawing>
          <wp:inline distT="0" distB="0" distL="114300" distR="114300">
            <wp:extent cx="5525135" cy="2440940"/>
            <wp:effectExtent l="0" t="0" r="0" b="0"/>
            <wp:docPr id="15" name="图片 15" descr="C:\Users\DONGYU~1\AppData\Local\Temp\WeChat Files\5f7ddcfbf3f35f4a467ff720da0b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ONGYU~1\AppData\Local\Temp\WeChat Files\5f7ddcfbf3f35f4a467ff720da0be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高端时尚</w:t>
      </w:r>
      <w:r>
        <w:rPr>
          <w:rFonts w:ascii="微软雅黑" w:hAnsi="微软雅黑" w:eastAsia="微软雅黑"/>
          <w:sz w:val="21"/>
          <w:szCs w:val="21"/>
        </w:rPr>
        <w:t>“</w:t>
      </w:r>
      <w:r>
        <w:rPr>
          <w:rFonts w:hint="eastAsia" w:ascii="微软雅黑" w:hAnsi="微软雅黑" w:eastAsia="微软雅黑"/>
          <w:sz w:val="21"/>
          <w:szCs w:val="21"/>
        </w:rPr>
        <w:t>高举</w:t>
      </w:r>
      <w:r>
        <w:rPr>
          <w:rFonts w:ascii="微软雅黑" w:hAnsi="微软雅黑" w:eastAsia="微软雅黑"/>
          <w:sz w:val="21"/>
          <w:szCs w:val="21"/>
        </w:rPr>
        <w:t>”</w:t>
      </w:r>
      <w:r>
        <w:rPr>
          <w:rFonts w:hint="eastAsia" w:ascii="微软雅黑" w:hAnsi="微软雅黑" w:eastAsia="微软雅黑"/>
          <w:sz w:val="21"/>
          <w:szCs w:val="21"/>
        </w:rPr>
        <w:t>事件</w:t>
      </w:r>
      <w:r>
        <w:rPr>
          <w:rFonts w:ascii="微软雅黑" w:hAnsi="微软雅黑" w:eastAsia="微软雅黑"/>
          <w:sz w:val="21"/>
          <w:szCs w:val="21"/>
        </w:rPr>
        <w:t>声量，</w:t>
      </w:r>
      <w:r>
        <w:rPr>
          <w:rFonts w:hint="eastAsia" w:ascii="微软雅黑" w:hAnsi="微软雅黑" w:eastAsia="微软雅黑"/>
          <w:sz w:val="21"/>
          <w:szCs w:val="21"/>
        </w:rPr>
        <w:t>通过对</w:t>
      </w:r>
      <w:r>
        <w:rPr>
          <w:rFonts w:ascii="微软雅黑" w:hAnsi="微软雅黑" w:eastAsia="微软雅黑"/>
          <w:sz w:val="21"/>
          <w:szCs w:val="21"/>
        </w:rPr>
        <w:t>目标</w:t>
      </w:r>
      <w:r>
        <w:rPr>
          <w:rFonts w:hint="eastAsia" w:ascii="微软雅黑" w:hAnsi="微软雅黑" w:eastAsia="微软雅黑"/>
          <w:sz w:val="21"/>
          <w:szCs w:val="21"/>
        </w:rPr>
        <w:t>人群的</w:t>
      </w:r>
      <w:r>
        <w:rPr>
          <w:rFonts w:ascii="微软雅黑" w:hAnsi="微软雅黑" w:eastAsia="微软雅黑"/>
          <w:sz w:val="21"/>
          <w:szCs w:val="21"/>
        </w:rPr>
        <w:t>洞察</w:t>
      </w:r>
      <w:r>
        <w:rPr>
          <w:rFonts w:hint="eastAsia" w:ascii="微软雅黑" w:hAnsi="微软雅黑" w:eastAsia="微软雅黑"/>
          <w:sz w:val="21"/>
          <w:szCs w:val="21"/>
        </w:rPr>
        <w:t>以每个人都能解读的时尚语言“低打”大众群体，以时尚界的emoji“潮人暗语”实现社交互动传播。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一</w:t>
      </w:r>
      <w:r>
        <w:rPr>
          <w:rFonts w:ascii="微软雅黑" w:hAnsi="微软雅黑" w:eastAsia="微软雅黑"/>
          <w:b/>
          <w:sz w:val="21"/>
          <w:szCs w:val="21"/>
          <w:u w:val="single"/>
        </w:rPr>
        <w:t>、核心创意——三个领域高调跨界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安慕希跨界“金字塔尖”法国高定品牌</w:t>
      </w:r>
      <w:r>
        <w:rPr>
          <w:rFonts w:ascii="微软雅黑" w:hAnsi="微软雅黑" w:eastAsia="微软雅黑"/>
          <w:sz w:val="21"/>
          <w:szCs w:val="21"/>
        </w:rPr>
        <w:t>Dice Kayek和头部时尚媒体《悦游 Conde Nast Traveler》，携三款联名定制时尚单品，高调亮相巴黎，打造#尚无定论，一切皆可安慕希#主题传播。深度剖析品牌与媒体的优势和特点，将彼此的核心元素提炼出来，彼此契合，相互渗透，从多个层面重新诠释对时尚的理解，联合生产高品质时尚大片，在巴黎春天户外大屏发布媒体合作事件、并在巴黎知名时尚媒体发布事件报道，以及邀请巴黎网红博主在社交媒体展示媒体合作作品；同时打造“潮人暗语”时尚icon，人人都可组合重组表达时</w:t>
      </w:r>
      <w:r>
        <w:rPr>
          <w:rFonts w:hint="eastAsia" w:ascii="微软雅黑" w:hAnsi="微软雅黑" w:eastAsia="微软雅黑"/>
          <w:sz w:val="21"/>
          <w:szCs w:val="21"/>
        </w:rPr>
        <w:t>尚态度，赋予了很强的社交基因，实现传播落地。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623435" cy="2670810"/>
            <wp:effectExtent l="0" t="0" r="0" b="0"/>
            <wp:docPr id="4" name="图片 4" descr="H:\2-伊利安慕希\项目\安慕希时尚联名\FIN物料及PPM文档\物料\三方联名KV\主KV小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-伊利安慕希\项目\安慕希时尚联名\FIN物料及PPM文档\物料\三方联名KV\主KV小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462" cy="26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二、</w:t>
      </w:r>
      <w:r>
        <w:rPr>
          <w:rFonts w:ascii="微软雅黑" w:hAnsi="微软雅黑" w:eastAsia="微软雅黑"/>
          <w:b/>
          <w:sz w:val="21"/>
          <w:szCs w:val="21"/>
          <w:u w:val="single"/>
        </w:rPr>
        <w:t xml:space="preserve">核心内容——全面阐释“尚 无定论”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1.   “尚 无定论”的跨界碰撞想象力落地：三个领域碰撞出的时尚单品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①</w:t>
      </w:r>
      <w:r>
        <w:rPr>
          <w:rFonts w:ascii="微软雅黑" w:hAnsi="微软雅黑" w:eastAsia="微软雅黑"/>
          <w:sz w:val="21"/>
          <w:szCs w:val="21"/>
        </w:rPr>
        <w:t xml:space="preserve"> 时尚界：高定联名丝巾，提取安慕希元素并融合巴黎时尚元素；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20035" cy="2820035"/>
            <wp:effectExtent l="0" t="0" r="0" b="0"/>
            <wp:docPr id="6" name="图片 6" descr="H:\2-伊利安慕希\项目\安慕希时尚联名\FIN物料及PPM文档\物料\DK\DK丝巾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-伊利安慕希\项目\安慕希时尚联名\FIN物料及PPM文档\物料\DK\DK丝巾设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166" cy="28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②</w:t>
      </w:r>
      <w:r>
        <w:rPr>
          <w:rFonts w:ascii="微软雅黑" w:hAnsi="微软雅黑" w:eastAsia="微软雅黑"/>
          <w:sz w:val="21"/>
          <w:szCs w:val="21"/>
        </w:rPr>
        <w:t xml:space="preserve"> 旅游界：巴黎时尚灵感地图；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017135" cy="33775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③</w:t>
      </w:r>
      <w:r>
        <w:rPr>
          <w:rFonts w:ascii="微软雅黑" w:hAnsi="微软雅黑" w:eastAsia="微软雅黑"/>
          <w:sz w:val="21"/>
        </w:rPr>
        <w:t xml:space="preserve"> 酸奶界：安慕希潮人暗语时尚盲盒，提取丝巾设计元素延展出的限量款瓶身设计，辅以“潮人暗语”时尚icon，打造兼具时尚度与收集趣味的新品盲盒；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114300" distR="114300">
            <wp:extent cx="5191125" cy="2552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2.   “尚 无定论”的精神理念传达：视觉语言的魅力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①</w:t>
      </w:r>
      <w:r>
        <w:rPr>
          <w:rFonts w:ascii="微软雅黑" w:hAnsi="微软雅黑" w:eastAsia="微软雅黑"/>
          <w:sz w:val="21"/>
          <w:szCs w:val="21"/>
        </w:rPr>
        <w:t xml:space="preserve"> 时尚灵感短片：讲述碰撞激发灵感，展现三方的碰撞与活力；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textAlignment w:val="baseline"/>
        <w:rPr>
          <w:rFonts w:ascii="微软雅黑" w:hAnsi="微软雅黑" w:eastAsia="微软雅黑"/>
          <w:color w:val="0000FF"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sz w:val="21"/>
          <w:szCs w:val="21"/>
        </w:rPr>
        <w:t>视频</w:t>
      </w:r>
      <w:r>
        <w:rPr>
          <w:rFonts w:ascii="微软雅黑" w:hAnsi="微软雅黑" w:eastAsia="微软雅黑"/>
          <w:sz w:val="21"/>
          <w:szCs w:val="21"/>
        </w:rPr>
        <w:t>地址：</w:t>
      </w:r>
      <w:r>
        <w:fldChar w:fldCharType="begin"/>
      </w:r>
      <w:r>
        <w:instrText xml:space="preserve"> HYPERLINK "https://v.qq.com/x/page/i0947qomy7m.html"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https://v.qq.com/x/page/i0947qomy7m.html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②</w:t>
      </w:r>
      <w:r>
        <w:rPr>
          <w:rFonts w:ascii="微软雅黑" w:hAnsi="微软雅黑" w:eastAsia="微软雅黑"/>
          <w:sz w:val="21"/>
          <w:szCs w:val="21"/>
        </w:rPr>
        <w:t xml:space="preserve"> 创意动画短片：讲述碰撞裂变重组，借浓烈色彩及缤纷元素的碰撞交响，和有趣的游戏来玩转时尚；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</w:t>
      </w:r>
      <w:r>
        <w:rPr>
          <w:rFonts w:ascii="微软雅黑" w:hAnsi="微软雅黑" w:eastAsia="微软雅黑"/>
          <w:sz w:val="21"/>
          <w:szCs w:val="21"/>
        </w:rPr>
        <w:t>地址：</w:t>
      </w:r>
      <w:r>
        <w:fldChar w:fldCharType="begin"/>
      </w:r>
      <w:r>
        <w:instrText xml:space="preserve"> HYPERLINK "https://v.qq.com/x/page/p3138i14o1e.html"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https://v.qq.com/x/page/p3138i14o1e.html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三、</w:t>
      </w:r>
      <w:r>
        <w:rPr>
          <w:rFonts w:ascii="微软雅黑" w:hAnsi="微软雅黑" w:eastAsia="微软雅黑"/>
          <w:b/>
          <w:sz w:val="21"/>
          <w:szCs w:val="21"/>
          <w:u w:val="single"/>
        </w:rPr>
        <w:t>核心事件——三个阶段落地传播差异化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阶段一：</w:t>
      </w:r>
      <w:r>
        <w:rPr>
          <w:rFonts w:ascii="微软雅黑" w:hAnsi="微软雅黑" w:eastAsia="微软雅黑"/>
          <w:b/>
          <w:sz w:val="21"/>
          <w:szCs w:val="21"/>
        </w:rPr>
        <w:t>2大动作成就官宣大事件，三方联名国内外强势吸睛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-联合高定品牌 Dice Kayek及头部时尚媒体《悦游 Conde Nast Traveler》 官宣亮相，携三个领域的联名定制时尚单品，以时尚感强烈的灵感短片高调官宣；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-安慕希高定联名时尚单品现身巴黎街头，引爆国外媒体平台，墙内开花墙外香，让安慕希一举在时尚跨界圈拥有姓名；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阶段二：出口转内销，落地潮人暗语盲盒，撬动销量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安慕希潮人暗语时尚盲盒官宣上市，借时装周炒作热度，</w:t>
      </w:r>
      <w:r>
        <w:rPr>
          <w:rFonts w:ascii="微软雅黑" w:hAnsi="微软雅黑" w:eastAsia="微软雅黑"/>
          <w:sz w:val="21"/>
          <w:szCs w:val="21"/>
        </w:rPr>
        <w:t>充分借助粉丝传播力，合作代言人粉丝团助力发酵，带动销量；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阶段三：以“潮人暗语”</w:t>
      </w:r>
      <w:r>
        <w:rPr>
          <w:rFonts w:ascii="微软雅黑" w:hAnsi="微软雅黑" w:eastAsia="微软雅黑"/>
          <w:b/>
          <w:sz w:val="21"/>
          <w:szCs w:val="21"/>
        </w:rPr>
        <w:t>为载体实现时尚传播落地，全方位激发消费者的猎奇心理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考虑安慕希</w:t>
      </w:r>
      <w:r>
        <w:rPr>
          <w:rFonts w:ascii="微软雅黑" w:hAnsi="微软雅黑" w:eastAsia="微软雅黑"/>
          <w:sz w:val="21"/>
          <w:szCs w:val="21"/>
        </w:rPr>
        <w:t>TA的时尚感知度，通过系列感、有辨识度、可组合的时尚icon，作为周边衍生元素，打造“潮人暗语”时尚icon，人人都可组合重组表达时尚态度，赋予了很强的社交基因，通过官方引领，KOL引发圈层用户，将潮人暗语打造成安慕希时尚潮流传播的差异化落地概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四</w:t>
      </w:r>
      <w:r>
        <w:rPr>
          <w:rFonts w:ascii="微软雅黑" w:hAnsi="微软雅黑" w:eastAsia="微软雅黑"/>
          <w:b/>
          <w:sz w:val="21"/>
          <w:szCs w:val="21"/>
          <w:u w:val="single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媒介资源策划：</w:t>
      </w:r>
      <w:r>
        <w:rPr>
          <w:rFonts w:ascii="微软雅黑" w:hAnsi="微软雅黑" w:eastAsia="微软雅黑"/>
          <w:sz w:val="21"/>
          <w:szCs w:val="21"/>
        </w:rPr>
        <w:t>匹配优质资源强势破圈，夯实时尚调性，针对潮流人群圈层特点，差异化传播，全面压制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①</w:t>
      </w:r>
      <w:r>
        <w:rPr>
          <w:rFonts w:ascii="微软雅黑" w:hAnsi="微软雅黑" w:eastAsia="微软雅黑"/>
          <w:b/>
          <w:sz w:val="21"/>
          <w:szCs w:val="21"/>
        </w:rPr>
        <w:t xml:space="preserve"> 巴黎户外广告牌：</w:t>
      </w:r>
      <w:r>
        <w:rPr>
          <w:rFonts w:ascii="微软雅黑" w:hAnsi="微软雅黑" w:eastAsia="微软雅黑"/>
          <w:sz w:val="21"/>
          <w:szCs w:val="21"/>
        </w:rPr>
        <w:t>占位巴黎黄金广告位，打造品牌时尚大事件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②</w:t>
      </w:r>
      <w:r>
        <w:rPr>
          <w:rFonts w:ascii="微软雅黑" w:hAnsi="微软雅黑" w:eastAsia="微软雅黑"/>
          <w:b/>
          <w:sz w:val="21"/>
          <w:szCs w:val="21"/>
        </w:rPr>
        <w:t xml:space="preserve"> 朋友圈广告：</w:t>
      </w:r>
      <w:r>
        <w:rPr>
          <w:rFonts w:ascii="微软雅黑" w:hAnsi="微软雅黑" w:eastAsia="微软雅黑"/>
          <w:sz w:val="21"/>
          <w:szCs w:val="21"/>
        </w:rPr>
        <w:t>以代言人直发朋友圈的形式，高曝光+低门槛轻互动进行暗语玩法传播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③</w:t>
      </w:r>
      <w:r>
        <w:rPr>
          <w:rFonts w:ascii="微软雅黑" w:hAnsi="微软雅黑" w:eastAsia="微软雅黑"/>
          <w:b/>
          <w:sz w:val="21"/>
          <w:szCs w:val="21"/>
        </w:rPr>
        <w:t xml:space="preserve"> 抖音挑战赛：</w:t>
      </w:r>
      <w:r>
        <w:rPr>
          <w:rFonts w:ascii="微软雅黑" w:hAnsi="微软雅黑" w:eastAsia="微软雅黑"/>
          <w:sz w:val="21"/>
          <w:szCs w:val="21"/>
        </w:rPr>
        <w:t>顺应安慕希TA，发起潮人暗语挑战赛，借趣味贴纸、强娱乐属性的形式， 引发现象级传播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④</w:t>
      </w:r>
      <w:r>
        <w:rPr>
          <w:rFonts w:ascii="微软雅黑" w:hAnsi="微软雅黑" w:eastAsia="微软雅黑"/>
          <w:b/>
          <w:sz w:val="21"/>
          <w:szCs w:val="21"/>
        </w:rPr>
        <w:t xml:space="preserve"> 微博热搜、开屏&amp;短视频硬广：</w:t>
      </w:r>
      <w:r>
        <w:rPr>
          <w:rFonts w:ascii="微软雅黑" w:hAnsi="微软雅黑" w:eastAsia="微软雅黑"/>
          <w:sz w:val="21"/>
          <w:szCs w:val="21"/>
        </w:rPr>
        <w:t>占位社交平台，高曝光资源强势宣告跨界合作，多形式点位承载时尚内</w:t>
      </w:r>
      <w:r>
        <w:rPr>
          <w:rFonts w:hint="eastAsia" w:ascii="微软雅黑" w:hAnsi="微软雅黑" w:eastAsia="微软雅黑"/>
          <w:sz w:val="21"/>
          <w:szCs w:val="21"/>
        </w:rPr>
        <w:t>容，撬动销量转化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项目完整</w:t>
      </w:r>
      <w:r>
        <w:rPr>
          <w:rFonts w:ascii="微软雅黑" w:hAnsi="微软雅黑" w:eastAsia="微软雅黑"/>
          <w:b/>
          <w:sz w:val="21"/>
          <w:szCs w:val="21"/>
        </w:rPr>
        <w:t>视频Casevideo地址：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"https://v.qq.com/x/page/h3224p2ege2.html" </w:instrText>
      </w:r>
      <w:r>
        <w:rPr>
          <w:b w:val="0"/>
          <w:bCs w:val="0"/>
        </w:rPr>
        <w:fldChar w:fldCharType="separate"/>
      </w:r>
      <w:r>
        <w:rPr>
          <w:rStyle w:val="19"/>
          <w:rFonts w:ascii="微软雅黑" w:hAnsi="微软雅黑" w:eastAsia="微软雅黑"/>
          <w:b w:val="0"/>
          <w:bCs w:val="0"/>
          <w:sz w:val="21"/>
          <w:szCs w:val="21"/>
        </w:rPr>
        <w:t>https://v.qq.com/x/page/h3224p2ege2.html</w:t>
      </w:r>
      <w:r>
        <w:rPr>
          <w:rStyle w:val="19"/>
          <w:rFonts w:ascii="微软雅黑" w:hAnsi="微软雅黑" w:eastAsia="微软雅黑"/>
          <w:b w:val="0"/>
          <w:bCs w:val="0"/>
          <w:sz w:val="21"/>
          <w:szCs w:val="21"/>
        </w:rPr>
        <w:fldChar w:fldCharType="end"/>
      </w:r>
      <w:r>
        <w:rPr>
          <w:rStyle w:val="19"/>
          <w:rFonts w:hint="eastAsia" w:ascii="微软雅黑" w:hAnsi="微软雅黑" w:eastAsia="微软雅黑"/>
          <w:b w:val="0"/>
          <w:bCs w:val="0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sz w:val="21"/>
          <w:u w:val="single"/>
        </w:rPr>
        <w:t>集中境内外优质媒体资源大流量曝光，引爆海内外口碑。为品牌赋能高阶价值</w:t>
      </w:r>
      <w:r>
        <w:rPr>
          <w:rFonts w:ascii="微软雅黑" w:hAnsi="微软雅黑" w:eastAsia="微软雅黑"/>
          <w:b/>
          <w:sz w:val="21"/>
          <w:u w:val="single"/>
        </w:rPr>
        <w:t xml:space="preserve"> ，成功粘贴时尚标签。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数据成果：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微信曝光量</w:t>
      </w:r>
      <w:r>
        <w:rPr>
          <w:rFonts w:ascii="微软雅黑" w:hAnsi="微软雅黑" w:eastAsia="微软雅黑"/>
        </w:rPr>
        <w:t xml:space="preserve"> 1.2亿+，互动量 180万+；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微博曝光量</w:t>
      </w:r>
      <w:r>
        <w:rPr>
          <w:rFonts w:ascii="微软雅黑" w:hAnsi="微软雅黑" w:eastAsia="微软雅黑"/>
        </w:rPr>
        <w:t xml:space="preserve"> 4.4亿+，互动量 45万+，讨论量 14.1万+；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抖音播放量</w:t>
      </w:r>
      <w:r>
        <w:rPr>
          <w:rFonts w:ascii="微软雅黑" w:hAnsi="微软雅黑" w:eastAsia="微软雅黑"/>
        </w:rPr>
        <w:t xml:space="preserve"> 40.1亿+，互动量 79.6万+；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color w:val="FF0000"/>
          <w:sz w:val="16"/>
        </w:rPr>
      </w:pPr>
      <w:r>
        <w:rPr>
          <w:rFonts w:hint="eastAsia" w:ascii="微软雅黑" w:hAnsi="微软雅黑" w:eastAsia="微软雅黑"/>
        </w:rPr>
        <w:t>官方微博新增粉丝</w:t>
      </w:r>
      <w:r>
        <w:rPr>
          <w:rFonts w:ascii="微软雅黑" w:hAnsi="微软雅黑" w:eastAsia="微软雅黑"/>
        </w:rPr>
        <w:t xml:space="preserve"> 13.3万人次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数据来源</w:t>
      </w:r>
      <w:r>
        <w:rPr>
          <w:rFonts w:ascii="微软雅黑" w:hAnsi="微软雅黑" w:eastAsia="微软雅黑"/>
          <w:sz w:val="20"/>
        </w:rPr>
        <w:t>：广告主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05C9E"/>
    <w:multiLevelType w:val="multilevel"/>
    <w:tmpl w:val="3A905C9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E7F597C"/>
    <w:multiLevelType w:val="multilevel"/>
    <w:tmpl w:val="3E7F597C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2EE1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5875"/>
    <w:rsid w:val="000F07ED"/>
    <w:rsid w:val="000F4F10"/>
    <w:rsid w:val="000F5168"/>
    <w:rsid w:val="000F63B2"/>
    <w:rsid w:val="00106EA3"/>
    <w:rsid w:val="0010732C"/>
    <w:rsid w:val="00114DD5"/>
    <w:rsid w:val="001265C9"/>
    <w:rsid w:val="00130686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72F"/>
    <w:rsid w:val="00192A5B"/>
    <w:rsid w:val="00194762"/>
    <w:rsid w:val="00195220"/>
    <w:rsid w:val="001954B4"/>
    <w:rsid w:val="0019737F"/>
    <w:rsid w:val="001A500D"/>
    <w:rsid w:val="001C4334"/>
    <w:rsid w:val="001C595B"/>
    <w:rsid w:val="001D08F1"/>
    <w:rsid w:val="001D11F3"/>
    <w:rsid w:val="001D2E2D"/>
    <w:rsid w:val="001E12DA"/>
    <w:rsid w:val="001E38F1"/>
    <w:rsid w:val="001E6133"/>
    <w:rsid w:val="001F17F1"/>
    <w:rsid w:val="001F2DD9"/>
    <w:rsid w:val="001F36FC"/>
    <w:rsid w:val="001F4270"/>
    <w:rsid w:val="001F7B4F"/>
    <w:rsid w:val="0020719F"/>
    <w:rsid w:val="002208F6"/>
    <w:rsid w:val="0022117C"/>
    <w:rsid w:val="00235A7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D29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78E"/>
    <w:rsid w:val="003F1D64"/>
    <w:rsid w:val="003F3BB6"/>
    <w:rsid w:val="003F3F93"/>
    <w:rsid w:val="003F410F"/>
    <w:rsid w:val="003F4BD3"/>
    <w:rsid w:val="004033AC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16EB"/>
    <w:rsid w:val="005119A6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742E"/>
    <w:rsid w:val="005A539D"/>
    <w:rsid w:val="005A56AE"/>
    <w:rsid w:val="005A697D"/>
    <w:rsid w:val="005B2564"/>
    <w:rsid w:val="005B6389"/>
    <w:rsid w:val="005C011B"/>
    <w:rsid w:val="005C16B2"/>
    <w:rsid w:val="005C79ED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8F1"/>
    <w:rsid w:val="006853C8"/>
    <w:rsid w:val="00693C3F"/>
    <w:rsid w:val="006955F5"/>
    <w:rsid w:val="006A138C"/>
    <w:rsid w:val="006A24F1"/>
    <w:rsid w:val="006A7D40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36CD"/>
    <w:rsid w:val="00764220"/>
    <w:rsid w:val="00772EBC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1E2"/>
    <w:rsid w:val="0085738D"/>
    <w:rsid w:val="008612D4"/>
    <w:rsid w:val="008674D7"/>
    <w:rsid w:val="00880022"/>
    <w:rsid w:val="008875A4"/>
    <w:rsid w:val="008B2200"/>
    <w:rsid w:val="008B689B"/>
    <w:rsid w:val="008C2693"/>
    <w:rsid w:val="008C667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5D1F"/>
    <w:rsid w:val="00930CF0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C84"/>
    <w:rsid w:val="009B0E2C"/>
    <w:rsid w:val="009B796F"/>
    <w:rsid w:val="009C6E37"/>
    <w:rsid w:val="009D4545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9BA"/>
    <w:rsid w:val="00A44A15"/>
    <w:rsid w:val="00A51A67"/>
    <w:rsid w:val="00A52343"/>
    <w:rsid w:val="00A54EAE"/>
    <w:rsid w:val="00A56181"/>
    <w:rsid w:val="00A57B51"/>
    <w:rsid w:val="00A631B1"/>
    <w:rsid w:val="00A6517A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6674"/>
    <w:rsid w:val="00AE7F81"/>
    <w:rsid w:val="00AF0F77"/>
    <w:rsid w:val="00AF1D91"/>
    <w:rsid w:val="00B03FD0"/>
    <w:rsid w:val="00B05B17"/>
    <w:rsid w:val="00B24DCC"/>
    <w:rsid w:val="00B25274"/>
    <w:rsid w:val="00B263DF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5FE"/>
    <w:rsid w:val="00BA0329"/>
    <w:rsid w:val="00BA7554"/>
    <w:rsid w:val="00BB0E07"/>
    <w:rsid w:val="00BB1A99"/>
    <w:rsid w:val="00BC1804"/>
    <w:rsid w:val="00BC7577"/>
    <w:rsid w:val="00BD25C9"/>
    <w:rsid w:val="00BD4563"/>
    <w:rsid w:val="00BD5747"/>
    <w:rsid w:val="00BD741B"/>
    <w:rsid w:val="00BD7FD3"/>
    <w:rsid w:val="00BE28C0"/>
    <w:rsid w:val="00BE39CF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A39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174"/>
    <w:rsid w:val="00D13BC3"/>
    <w:rsid w:val="00D14F03"/>
    <w:rsid w:val="00D2340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7E7B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585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064E"/>
    <w:rsid w:val="00FE1360"/>
    <w:rsid w:val="00FE497C"/>
    <w:rsid w:val="00FE70B2"/>
    <w:rsid w:val="00FE7398"/>
    <w:rsid w:val="631E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Char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Char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Char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Char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paragraph" w:customStyle="1" w:styleId="32">
    <w:name w:val="列出段落1"/>
    <w:basedOn w:val="1"/>
    <w:qFormat/>
    <w:uiPriority w:val="34"/>
    <w:pPr>
      <w:ind w:left="720"/>
    </w:pPr>
    <w:rPr>
      <w:rFonts w:ascii="Times New Roman" w:hAnsi="Times New Roman" w:eastAsia="Times New Roman" w:cs="Times New Roman"/>
      <w:lang w:val="en-GB"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BEFBED-8292-4CA3-8E4F-3AD0B81D16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445</Words>
  <Characters>2537</Characters>
  <Lines>21</Lines>
  <Paragraphs>5</Paragraphs>
  <TotalTime>3</TotalTime>
  <ScaleCrop>false</ScaleCrop>
  <LinksUpToDate>false</LinksUpToDate>
  <CharactersWithSpaces>2977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2021-01-26T04:38:00Z</dcterms:created>
  <dc:creator>雨林木风</dc:creator>
  <cp:lastModifiedBy>韩旭</cp:lastModifiedBy>
  <cp:lastPrinted>2012-10-11T08:46:00Z</cp:lastPrinted>
  <dcterms:modified xsi:type="dcterms:W3CDTF">2021-02-05T02:31:59Z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