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1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“面向用户的品牌秀场”抖音潮科技内容运营</w:t>
      </w:r>
      <w:bookmarkEnd w:id="1"/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惠普电脑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IT行业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2020.06.01-12.31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短视频营销类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“惠普电脑”作为惠普官方主要的视频传播平台，需在保持品牌调性的前提下，制作符合抖音平台的内容。</w:t>
      </w:r>
      <w:r>
        <w:rPr>
          <w:rFonts w:ascii="微软雅黑" w:hAnsi="微软雅黑" w:eastAsia="微软雅黑"/>
          <w:sz w:val="21"/>
          <w:szCs w:val="21"/>
        </w:rPr>
        <w:t>在用户流量高地的短视频平台，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通过栏目化内容吸引用户眼球，将科技内容玩出创意。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不断提升粉丝增量的同时，加深用户对于账号内容的关注度和喜爱度。打造有品牌印记，兼具辨识度的内容。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制作易传播、易聚焦、易互动、多元化，同时兼顾品牌调性的优质视频内容，让惠普电脑抖音内容真正“抖”起来！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default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为惠普电脑的抖音账号打造以下栏目：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Social Video：通过创意的剧情设置和生动的镜头语言，让产品点的呈现更加具有趣味性、传播性和互动性；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drawing>
          <wp:inline distT="0" distB="0" distL="114300" distR="114300">
            <wp:extent cx="4358640" cy="25438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惠普实验室：两位产品经理通过幽默的讲解和互动，为用户科普产品小知识、品牌小故事等；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</w:pPr>
      <w:r>
        <w:drawing>
          <wp:inline distT="0" distB="0" distL="114300" distR="114300">
            <wp:extent cx="4953000" cy="2898140"/>
            <wp:effectExtent l="0" t="0" r="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惠普小剧场：通过情景剧的形式，用轻松活泼的剧情和演绎，展现产品的利益点。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品牌宣传：从品牌层面出发，讲述品牌故事、传播公益行动等。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直播运营：日常话题直播+KOL亮点直播相结合，促进品牌活跃，增强粉丝粘性。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</w:pPr>
      <w:r>
        <w:drawing>
          <wp:inline distT="0" distB="0" distL="114300" distR="114300">
            <wp:extent cx="4933315" cy="2664460"/>
            <wp:effectExtent l="0" t="0" r="63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Lines="50" w:afterAutospacing="1"/>
        <w:ind w:left="0" w:leftChars="0" w:firstLine="0"/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bookmarkStart w:id="0" w:name="_Hlk500851437"/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视频链接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/>
        <w:textAlignment w:val="baseline"/>
        <w:rPr>
          <w:rFonts w:hint="default" w:ascii="微软雅黑" w:hAnsi="微软雅黑" w:eastAsia="微软雅黑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《比创业更难的事》惠普战66“军工级品质”</w:t>
      </w:r>
      <w:bookmarkEnd w:id="0"/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instrText xml:space="preserve"> HYPERLINK "https://www.bilibili.com/video/BV1jt4y167ih/ " </w:instrTex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separate"/>
      </w:r>
      <w:r>
        <w:rPr>
          <w:rStyle w:val="16"/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 xml:space="preserve">https://www.bilibili.com/video/BV1jt4y167ih/ </w: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/>
        <w:textAlignment w:val="baseline"/>
        <w:rPr>
          <w:rFonts w:hint="default" w:ascii="微软雅黑" w:hAnsi="微软雅黑" w:eastAsia="微软雅黑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《关于显卡，你知道多少？》</w: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instrText xml:space="preserve"> HYPERLINK "https://www.bilibili.com/video/BV1wy4y1n74o/" </w:instrTex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separate"/>
      </w:r>
      <w:r>
        <w:rPr>
          <w:rStyle w:val="16"/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https://www.bilibili.com/video/BV1wy4y1n74o/</w: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/>
        <w:textAlignment w:val="baseline"/>
        <w:rPr>
          <w:rFonts w:hint="eastAsia"/>
          <w:lang w:eastAsia="zh-CN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《暗影精灵6的美，你get了吗？》</w: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instrText xml:space="preserve"> HYPERLINK "https://www.bilibili.com/video/BV1Ty4y127UU/" </w:instrTex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separate"/>
      </w:r>
      <w:r>
        <w:rPr>
          <w:rStyle w:val="16"/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https://www.bilibili.com/video/BV1Ty4y127UU/</w:t>
      </w: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b/>
          <w:color w:val="0000FF"/>
          <w:sz w:val="28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内容主阵地抖音数据反馈：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截至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020年</w:t>
      </w: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2月</w:t>
      </w: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1日共发布</w:t>
      </w:r>
      <w:r>
        <w:rPr>
          <w:rFonts w:hint="eastAsia" w:ascii="微软雅黑" w:hAnsi="微软雅黑" w:eastAsia="微软雅黑"/>
          <w:szCs w:val="21"/>
          <w:lang w:val="en-US" w:eastAsia="zh-CN"/>
        </w:rPr>
        <w:t>视频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  <w:szCs w:val="21"/>
          <w:lang w:val="en-US" w:eastAsia="zh-CN"/>
        </w:rPr>
        <w:t>32</w:t>
      </w:r>
      <w:r>
        <w:rPr>
          <w:rFonts w:ascii="微软雅黑" w:hAnsi="微软雅黑" w:eastAsia="微软雅黑"/>
          <w:szCs w:val="21"/>
        </w:rPr>
        <w:t>条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播放量总计：</w:t>
      </w:r>
      <w:r>
        <w:rPr>
          <w:rFonts w:hint="eastAsia" w:ascii="微软雅黑" w:hAnsi="微软雅黑" w:eastAsia="微软雅黑"/>
          <w:szCs w:val="21"/>
          <w:lang w:val="en-US" w:eastAsia="zh-CN"/>
        </w:rPr>
        <w:t>2,012.5</w:t>
      </w:r>
      <w:r>
        <w:rPr>
          <w:rFonts w:ascii="微软雅黑" w:hAnsi="微软雅黑" w:eastAsia="微软雅黑"/>
          <w:szCs w:val="21"/>
        </w:rPr>
        <w:t>万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互动量总计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  <w:szCs w:val="21"/>
          <w:lang w:val="en-US" w:eastAsia="zh-CN"/>
        </w:rPr>
        <w:t>78.2</w:t>
      </w:r>
      <w:r>
        <w:rPr>
          <w:rFonts w:ascii="微软雅黑" w:hAnsi="微软雅黑" w:eastAsia="微软雅黑"/>
          <w:szCs w:val="21"/>
        </w:rPr>
        <w:t>万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color w:val="auto"/>
          <w:sz w:val="20"/>
          <w:lang w:val="en-US" w:eastAsia="zh-CN"/>
        </w:rPr>
      </w:pPr>
      <w:r>
        <w:rPr>
          <w:rFonts w:ascii="微软雅黑" w:hAnsi="微软雅黑" w:eastAsia="微软雅黑"/>
          <w:color w:val="auto"/>
          <w:szCs w:val="21"/>
        </w:rPr>
        <w:t>截至</w:t>
      </w:r>
      <w:r>
        <w:rPr>
          <w:rFonts w:hint="eastAsia" w:ascii="微软雅黑" w:hAnsi="微软雅黑" w:eastAsia="微软雅黑"/>
          <w:color w:val="auto"/>
          <w:szCs w:val="21"/>
        </w:rPr>
        <w:t>2</w:t>
      </w:r>
      <w:r>
        <w:rPr>
          <w:rFonts w:ascii="微软雅黑" w:hAnsi="微软雅黑" w:eastAsia="微软雅黑"/>
          <w:color w:val="auto"/>
          <w:szCs w:val="21"/>
        </w:rPr>
        <w:t>020年</w:t>
      </w:r>
      <w:r>
        <w:rPr>
          <w:rFonts w:hint="eastAsia" w:ascii="微软雅黑" w:hAnsi="微软雅黑" w:eastAsia="微软雅黑"/>
          <w:color w:val="auto"/>
          <w:szCs w:val="21"/>
        </w:rPr>
        <w:t>1</w:t>
      </w:r>
      <w:r>
        <w:rPr>
          <w:rFonts w:ascii="微软雅黑" w:hAnsi="微软雅黑" w:eastAsia="微软雅黑"/>
          <w:color w:val="auto"/>
          <w:szCs w:val="21"/>
        </w:rPr>
        <w:t>2月</w:t>
      </w:r>
      <w:r>
        <w:rPr>
          <w:rFonts w:hint="eastAsia" w:ascii="微软雅黑" w:hAnsi="微软雅黑" w:eastAsia="微软雅黑"/>
          <w:color w:val="auto"/>
          <w:szCs w:val="21"/>
        </w:rPr>
        <w:t>3</w:t>
      </w:r>
      <w:r>
        <w:rPr>
          <w:rFonts w:ascii="微软雅黑" w:hAnsi="微软雅黑" w:eastAsia="微软雅黑"/>
          <w:color w:val="auto"/>
          <w:szCs w:val="21"/>
        </w:rPr>
        <w:t>1日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惠普电脑</w:t>
      </w:r>
      <w:r>
        <w:rPr>
          <w:rFonts w:ascii="微软雅黑" w:hAnsi="微软雅黑" w:eastAsia="微软雅黑"/>
          <w:color w:val="auto"/>
          <w:szCs w:val="21"/>
        </w:rPr>
        <w:t>官抖增粉</w:t>
      </w:r>
      <w:r>
        <w:rPr>
          <w:rFonts w:hint="eastAsia" w:ascii="微软雅黑" w:hAnsi="微软雅黑" w:eastAsia="微软雅黑"/>
          <w:color w:val="auto"/>
          <w:szCs w:val="21"/>
        </w:rPr>
        <w:t>：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9</w:t>
      </w:r>
      <w:r>
        <w:rPr>
          <w:rFonts w:ascii="微软雅黑" w:hAnsi="微软雅黑" w:eastAsia="微软雅黑"/>
          <w:color w:val="auto"/>
          <w:szCs w:val="21"/>
        </w:rPr>
        <w:t>万</w:t>
      </w:r>
      <w:r>
        <w:rPr>
          <w:rFonts w:hint="eastAsia" w:ascii="微软雅黑" w:hAnsi="微软雅黑" w:eastAsia="微软雅黑"/>
          <w:color w:val="auto"/>
          <w:szCs w:val="21"/>
        </w:rPr>
        <w:t>+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3993A"/>
    <w:multiLevelType w:val="singleLevel"/>
    <w:tmpl w:val="9233993A"/>
    <w:lvl w:ilvl="0" w:tentative="0">
      <w:start w:val="1"/>
      <w:numFmt w:val="bullet"/>
      <w:lvlText w:val="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CABF2729"/>
    <w:multiLevelType w:val="singleLevel"/>
    <w:tmpl w:val="CABF2729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C0229C6"/>
    <w:rsid w:val="6C3A5D8A"/>
    <w:rsid w:val="7F11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0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2021-02-05T02:36:04Z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