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东风日产奇骏AI智能营销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东风日产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2020.03.18-05.17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智能营销类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东风日产奇骏是中国车市紧凑级</w:t>
      </w:r>
      <w:r>
        <w:rPr>
          <w:rFonts w:ascii="微软雅黑" w:hAnsi="微软雅黑" w:eastAsia="微软雅黑"/>
          <w:sz w:val="21"/>
          <w:szCs w:val="21"/>
        </w:rPr>
        <w:t>SUV的经典车型，长期占据细分市场前三地位。2020年开年伊始，受制于疫</w:t>
      </w:r>
      <w:r>
        <w:rPr>
          <w:rFonts w:hint="eastAsia" w:ascii="微软雅黑" w:hAnsi="微软雅黑" w:eastAsia="微软雅黑"/>
          <w:sz w:val="21"/>
          <w:szCs w:val="21"/>
        </w:rPr>
        <w:t>情影响，线下用户到店率从疫情前</w:t>
      </w:r>
      <w:r>
        <w:rPr>
          <w:rFonts w:ascii="微软雅黑" w:hAnsi="微软雅黑" w:eastAsia="微软雅黑"/>
          <w:sz w:val="21"/>
          <w:szCs w:val="21"/>
        </w:rPr>
        <w:t>78%，跌落到疫情后3月份的22%，靠线下门店收集潜客转化已经举步维艰</w:t>
      </w:r>
      <w:r>
        <w:rPr>
          <w:rFonts w:hint="eastAsia" w:ascii="微软雅黑" w:hAnsi="微软雅黑" w:eastAsia="微软雅黑"/>
          <w:sz w:val="21"/>
          <w:szCs w:val="21"/>
        </w:rPr>
        <w:t>，而竞品</w:t>
      </w:r>
      <w:r>
        <w:rPr>
          <w:rFonts w:ascii="微软雅黑" w:hAnsi="微软雅黑" w:eastAsia="微软雅黑"/>
          <w:sz w:val="21"/>
          <w:szCs w:val="21"/>
        </w:rPr>
        <w:t>RAV4及皓影更新换代上市，对奇骏形成强势抢夺，奇骏1月销量下跌18%。加上国内疫情爆发，3月销量仅5000余辆。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因此，在疫情期间，在面临用户到店受阻及竞品强势抢夺，奇骏如何扭转并恢复正常市场销量，成为核心挑战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114300" distR="114300">
            <wp:extent cx="3449955" cy="2267585"/>
            <wp:effectExtent l="0" t="0" r="171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154295" cy="2665095"/>
            <wp:effectExtent l="0" t="0" r="825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5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  <w:szCs w:val="21"/>
        </w:rPr>
        <w:t>提升关注和线索转化，车型销量重回正轨。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用户行为虽然差异大，但其行为轨迹关键触点却有迹可循，基于</w:t>
      </w:r>
      <w:r>
        <w:rPr>
          <w:rFonts w:ascii="微软雅黑" w:hAnsi="微软雅黑" w:eastAsia="微软雅黑"/>
          <w:sz w:val="21"/>
          <w:szCs w:val="21"/>
        </w:rPr>
        <w:t>UCM大数据模型，运用AI</w:t>
      </w:r>
      <w:r>
        <w:rPr>
          <w:rFonts w:hint="eastAsia" w:ascii="微软雅黑" w:hAnsi="微软雅黑" w:eastAsia="微软雅黑"/>
          <w:sz w:val="21"/>
          <w:szCs w:val="21"/>
        </w:rPr>
        <w:t>智能</w:t>
      </w:r>
      <w:r>
        <w:rPr>
          <w:rFonts w:ascii="微软雅黑" w:hAnsi="微软雅黑" w:eastAsia="微软雅黑"/>
          <w:sz w:val="21"/>
          <w:szCs w:val="21"/>
        </w:rPr>
        <w:t>技术搭建</w:t>
      </w:r>
      <w:r>
        <w:rPr>
          <w:rFonts w:hint="eastAsia" w:ascii="微软雅黑" w:hAnsi="微软雅黑" w:eastAsia="微软雅黑"/>
          <w:sz w:val="21"/>
          <w:szCs w:val="21"/>
        </w:rPr>
        <w:t>五类</w:t>
      </w:r>
      <w:r>
        <w:rPr>
          <w:rFonts w:ascii="微软雅黑" w:hAnsi="微软雅黑" w:eastAsia="微软雅黑"/>
          <w:sz w:val="21"/>
          <w:szCs w:val="21"/>
        </w:rPr>
        <w:t>用户画像分类模型，并针对各类关键轨迹设计营销动作达成目标。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drawing>
          <wp:inline distT="0" distB="0" distL="0" distR="0">
            <wp:extent cx="5422265" cy="1868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1957" r="3819" b="6058"/>
                    <a:stretch>
                      <a:fillRect/>
                    </a:stretch>
                  </pic:blipFill>
                  <pic:spPr>
                    <a:xfrm>
                      <a:off x="0" y="0"/>
                      <a:ext cx="5422784" cy="18685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核心执行方法论：</w:t>
      </w:r>
      <w:r>
        <w:rPr>
          <w:rFonts w:ascii="微软雅黑" w:hAnsi="微软雅黑" w:eastAsia="微软雅黑"/>
          <w:sz w:val="21"/>
          <w:szCs w:val="21"/>
        </w:rPr>
        <w:t>DITI四步曲搭建AI用户转化轨迹模型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4998085" cy="1631950"/>
            <wp:effectExtent l="0" t="0" r="1206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第一步：前期探侦——初始内容探侦用户行为路径，调整修正推荐算法；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092700" cy="1884680"/>
            <wp:effectExtent l="0" t="0" r="1270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第二步：UCM分群——基于UCM，以AI技术搭建五类用户模型；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4898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第三步：智能寻迹——瞄准五类用户模型拟定投放策略，适配智能转化方案；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2133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720715" cy="20967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第四步：迭代提效——前测+后证，数据监控反馈，策略动态调整。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158740" cy="1887220"/>
            <wp:effectExtent l="0" t="0" r="381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  <w:t>关注攀升：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日均关注提升64.8%，快速恢复后超越历史数据；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  <w:t>线索提效：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线索提效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18.5%，比起历史传统营销项目线索转化率41.1%，提升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至5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9.67%；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FF0000"/>
          <w:sz w:val="20"/>
        </w:rPr>
        <w:drawing>
          <wp:inline distT="0" distB="0" distL="0" distR="0">
            <wp:extent cx="4707255" cy="1947545"/>
            <wp:effectExtent l="0" t="0" r="1714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</w:rPr>
        <w:t>销量冲顶：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执行投放后的4月，奇骏市场销量达到1.16万台，恢复至1月正常水平，5月冲顶1.7万台，持续向好并超越竞品；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color w:val="FF0000"/>
          <w:sz w:val="20"/>
        </w:rPr>
      </w:pPr>
      <w:r>
        <w:rPr>
          <w:rFonts w:ascii="微软雅黑" w:hAnsi="微软雅黑" w:eastAsia="微软雅黑"/>
          <w:color w:val="FF0000"/>
          <w:sz w:val="20"/>
        </w:rPr>
        <w:drawing>
          <wp:inline distT="0" distB="0" distL="0" distR="0">
            <wp:extent cx="5140325" cy="1857375"/>
            <wp:effectExtent l="0" t="0" r="31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</w:rPr>
        <w:t>传播影响：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本案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结束后客户追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加了千万级投放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费用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，对项目表示了充分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认可，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对此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点评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道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疫情期间，线下用户转化几乎被阻断，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销量问题迫在眉睫。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</w:rPr>
        <w:t>本案跳出固化逻辑，通过AI智能营销手段，最终关注及线索数据高效提升，市场销量快速恢复后超越历史数据，转化效应持续成功。</w:t>
      </w:r>
      <w:r>
        <w:rPr>
          <w:rFonts w:ascii="微软雅黑" w:hAnsi="微软雅黑" w:eastAsia="微软雅黑"/>
          <w:color w:val="000000" w:themeColor="text1"/>
          <w:sz w:val="21"/>
          <w:szCs w:val="21"/>
        </w:rPr>
        <w:t>”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14E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321"/>
    <w:rsid w:val="003548BE"/>
    <w:rsid w:val="00361FEC"/>
    <w:rsid w:val="00362043"/>
    <w:rsid w:val="00365FAB"/>
    <w:rsid w:val="00367BEF"/>
    <w:rsid w:val="00371D9E"/>
    <w:rsid w:val="00371F8B"/>
    <w:rsid w:val="00386E93"/>
    <w:rsid w:val="0038758A"/>
    <w:rsid w:val="00392F54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19EF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4685"/>
    <w:rsid w:val="00880022"/>
    <w:rsid w:val="008875A4"/>
    <w:rsid w:val="008923FF"/>
    <w:rsid w:val="008B2200"/>
    <w:rsid w:val="008B689B"/>
    <w:rsid w:val="008C2693"/>
    <w:rsid w:val="008F2CAF"/>
    <w:rsid w:val="008F5653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4F40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68D7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2447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4ABC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03D217-4E5C-4A5E-9A07-78DACC6B67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170</Words>
  <Characters>969</Characters>
  <Lines>8</Lines>
  <Paragraphs>2</Paragraphs>
  <TotalTime>0</TotalTime>
  <ScaleCrop>false</ScaleCrop>
  <LinksUpToDate>false</LinksUpToDate>
  <CharactersWithSpaces>1137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2021-02-04T09:22:15Z</dcterms:modified>
  <dc:title>No</dc:title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