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3"/>
        <w:keepNext w:val="0"/>
        <w:keepLines w:val="0"/>
        <w:pageBreakBefore w:val="0"/>
        <w:widowControl/>
        <w:shd w:val="clear" w:color="auto" w:fill="FFFFFF"/>
        <w:kinsoku/>
        <w:wordWrap/>
        <w:overflowPunct/>
        <w:topLinePunct w:val="0"/>
        <w:autoSpaceDE/>
        <w:autoSpaceDN w:val="0"/>
        <w:bidi w:val="0"/>
        <w:adjustRightInd/>
        <w:snapToGrid/>
        <w:spacing w:before="240" w:beforeLines="100"/>
        <w:jc w:val="center"/>
        <w:textAlignment w:val="baseline"/>
        <w:rPr>
          <w:rFonts w:ascii="微软雅黑" w:hAnsi="微软雅黑" w:eastAsia="微软雅黑"/>
          <w:b/>
          <w:sz w:val="32"/>
          <w:szCs w:val="32"/>
        </w:rPr>
      </w:pPr>
      <w:r>
        <w:rPr>
          <w:rFonts w:hint="eastAsia" w:ascii="微软雅黑" w:hAnsi="微软雅黑" w:eastAsia="微软雅黑"/>
          <w:b/>
          <w:sz w:val="32"/>
          <w:szCs w:val="32"/>
        </w:rPr>
        <w:t>高冷金融的穿越式脑洞传播</w:t>
      </w:r>
    </w:p>
    <w:p>
      <w:pPr>
        <w:pStyle w:val="23"/>
        <w:keepNext w:val="0"/>
        <w:keepLines w:val="0"/>
        <w:pageBreakBefore w:val="0"/>
        <w:widowControl/>
        <w:shd w:val="clear" w:color="auto" w:fill="FFFFFF"/>
        <w:kinsoku/>
        <w:wordWrap/>
        <w:overflowPunct/>
        <w:topLinePunct w:val="0"/>
        <w:autoSpaceDE/>
        <w:autoSpaceDN w:val="0"/>
        <w:bidi w:val="0"/>
        <w:adjustRightInd/>
        <w:snapToGrid/>
        <w:spacing w:after="240" w:afterLines="100"/>
        <w:jc w:val="center"/>
        <w:textAlignment w:val="baseline"/>
        <w:rPr>
          <w:rFonts w:ascii="微软雅黑" w:hAnsi="微软雅黑" w:eastAsia="微软雅黑"/>
          <w:b/>
          <w:sz w:val="32"/>
          <w:szCs w:val="32"/>
        </w:rPr>
      </w:pPr>
      <w:r>
        <w:rPr>
          <w:rFonts w:hint="eastAsia" w:ascii="微软雅黑" w:hAnsi="微软雅黑" w:eastAsia="微软雅黑"/>
          <w:b/>
          <w:sz w:val="32"/>
          <w:szCs w:val="32"/>
        </w:rPr>
        <w:t>广发银行发现精彩APP5.0升级公关传播</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广发银行</w:t>
      </w:r>
    </w:p>
    <w:p>
      <w:pPr>
        <w:textAlignment w:val="baseline"/>
        <w:rPr>
          <w:rFonts w:ascii="微软雅黑" w:hAnsi="微软雅黑" w:eastAsia="微软雅黑"/>
          <w:bCs/>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金融</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.08.</w:t>
      </w:r>
      <w:r>
        <w:rPr>
          <w:rFonts w:ascii="微软雅黑" w:hAnsi="微软雅黑" w:eastAsia="微软雅黑"/>
          <w:sz w:val="21"/>
          <w:szCs w:val="21"/>
        </w:rPr>
        <w:t>01</w:t>
      </w:r>
      <w:r>
        <w:rPr>
          <w:rFonts w:hint="eastAsia" w:ascii="微软雅黑" w:hAnsi="微软雅黑" w:eastAsia="微软雅黑"/>
          <w:sz w:val="21"/>
          <w:szCs w:val="21"/>
        </w:rPr>
        <w:t>-11.</w:t>
      </w:r>
      <w:r>
        <w:rPr>
          <w:rFonts w:ascii="微软雅黑" w:hAnsi="微软雅黑" w:eastAsia="微软雅黑"/>
          <w:sz w:val="21"/>
          <w:szCs w:val="21"/>
        </w:rPr>
        <w:t>01</w:t>
      </w:r>
    </w:p>
    <w:p>
      <w:pPr>
        <w:spacing w:after="240"/>
        <w:textAlignment w:val="baseline"/>
        <w:rPr>
          <w:rFonts w:ascii="微软雅黑" w:hAnsi="微软雅黑" w:eastAsia="微软雅黑"/>
          <w:b/>
          <w:color w:val="0000FF"/>
        </w:rPr>
      </w:pPr>
      <w:r>
        <w:rPr>
          <w:rFonts w:hint="eastAsia" w:ascii="微软雅黑" w:hAnsi="微软雅黑" w:eastAsia="微软雅黑"/>
          <w:b/>
          <w:sz w:val="21"/>
          <w:szCs w:val="21"/>
        </w:rPr>
        <w:t>参选类别：</w:t>
      </w:r>
      <w:bookmarkStart w:id="0" w:name="_GoBack"/>
      <w:r>
        <w:rPr>
          <w:rFonts w:hint="eastAsia" w:ascii="微软雅黑" w:hAnsi="微软雅黑" w:eastAsia="微软雅黑"/>
          <w:bCs/>
          <w:sz w:val="21"/>
          <w:szCs w:val="21"/>
        </w:rPr>
        <w:t>创意传播类</w:t>
      </w:r>
      <w:bookmarkEnd w:id="0"/>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行业背景：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随着大众媒介使用习惯的转变，手机银行App已成为零售银行竞争的主战场，广发银行全新推出的“发现精彩APP5.0”，布局合作方生态经营平台及数据流量入口，以“人”为中心，让低频银行业务转向高频“全生态”金融服务。以场景化思维建立贴合用户生活需求的平台生态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营销挑战：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近年各大手机银行App的竞相更新升级早己不是什么新鲜事儿，如何让广发银行手机银行App的本次升级引起大众的广泛关注，如何摆脱以往金融广告的刻板传播印象，让其以更有创意和吸引力的方式快速引爆市场，是本次营销战役的核心挑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达成品牌高曝光，抢占市场（特别是年轻人的）关注度；</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lang w:val="en-US" w:eastAsia="zh-CN"/>
        </w:rPr>
        <w:t>2、</w:t>
      </w:r>
      <w:r>
        <w:rPr>
          <w:rFonts w:hint="eastAsia" w:ascii="微软雅黑" w:hAnsi="微软雅黑" w:eastAsia="微软雅黑"/>
          <w:sz w:val="21"/>
          <w:szCs w:val="21"/>
        </w:rPr>
        <w:t>占领用户心智，以创意的方式塑造广发银行“发现精彩APP5.0”为“深知并能够解决用户实际需求”的全生态金融服务产品；</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3、提升广发银行“发现精彩APP5.0”知名度，助力其留存、促活、拉新。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hint="eastAsia" w:ascii="微软雅黑" w:hAnsi="微软雅黑" w:eastAsia="微软雅黑"/>
          <w:b/>
          <w:sz w:val="22"/>
        </w:rPr>
        <w:t>跳出金融玩金融，内容创意引关注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跳出传统的金融传播思维，以互联网思路做有吸引力的内容输出。</w:t>
      </w:r>
    </w:p>
    <w:p>
      <w:pPr>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hint="eastAsia" w:ascii="微软雅黑" w:hAnsi="微软雅黑" w:eastAsia="微软雅黑"/>
          <w:b/>
          <w:sz w:val="22"/>
        </w:rPr>
        <w:t>线上线下巧妙联动，金融传播也能破次元壁</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线上传播中的元素真实走到线下，演绎一场“奇幻”的“破壁”事件，引爆热议话题。</w:t>
      </w:r>
    </w:p>
    <w:p>
      <w:pPr>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hint="eastAsia" w:ascii="微软雅黑" w:hAnsi="微软雅黑" w:eastAsia="微软雅黑"/>
          <w:b/>
          <w:sz w:val="22"/>
        </w:rPr>
        <w:t>放大利益点，创意跟着产品走，真正品效合一</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贴合用户需求针对性突出产品优势，有创意同时有效果。</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b/>
          <w:sz w:val="21"/>
          <w:szCs w:val="16"/>
        </w:rPr>
        <w:t>案例创意特别企划视频链接</w:t>
      </w:r>
      <w:r>
        <w:rPr>
          <w:rFonts w:hint="eastAsia" w:ascii="微软雅黑" w:hAnsi="微软雅黑" w:eastAsia="微软雅黑" w:cs="Times New Roman"/>
          <w:b/>
          <w:bCs/>
          <w:sz w:val="21"/>
          <w:szCs w:val="18"/>
        </w:rPr>
        <w:t>：</w:t>
      </w:r>
      <w:r>
        <w:fldChar w:fldCharType="begin"/>
      </w:r>
      <w:r>
        <w:instrText xml:space="preserve"> HYPERLINK "https://www.bilibili.com/video/BV1vK4y1W7g9/" </w:instrText>
      </w:r>
      <w:r>
        <w:fldChar w:fldCharType="separate"/>
      </w:r>
      <w:r>
        <w:rPr>
          <w:rStyle w:val="17"/>
          <w:rFonts w:ascii="微软雅黑" w:hAnsi="微软雅黑" w:eastAsia="微软雅黑"/>
          <w:sz w:val="21"/>
          <w:szCs w:val="21"/>
        </w:rPr>
        <w:t>https://www.bilibili.com/video/BV1vK4y1W7g9/</w:t>
      </w:r>
      <w:r>
        <w:rPr>
          <w:rStyle w:val="17"/>
          <w:rFonts w:ascii="微软雅黑" w:hAnsi="微软雅黑" w:eastAsia="微软雅黑"/>
          <w:sz w:val="21"/>
          <w:szCs w:val="21"/>
        </w:rPr>
        <w:fldChar w:fldCharType="end"/>
      </w:r>
    </w:p>
    <w:p>
      <w:pPr>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预热期亮点：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rPr>
        <w:t>无厘头系列创意视频——让金融产品优势的表达更直观有趣</w:t>
      </w:r>
      <w:r>
        <w:rPr>
          <w:rFonts w:hint="eastAsia" w:ascii="微软雅黑" w:hAnsi="微软雅黑" w:eastAsia="微软雅黑"/>
          <w:b/>
          <w:bCs/>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选择三个用户高需求功能，创意结合经典电影《唐伯虎点秋香》内容，以无厘头的搞笑和脑洞情节，突出展示广发银行APP5.0产品优势。视频中融入的“谐音梗”、“唐伯虎式rap”等创意内容成为热议话题。</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《发现精彩 - 养“车”遇坑篇》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对应产品优势：洗车养护很便宜</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满足用户需求：生活中很容易碰到一些收费高、服务差的“野蛮”店家，广发银行APP5.0正是可以为你筛选优质商户，为你避坑。</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内容创意：巧借谐音梗“夺Money书生”，穿越古代“五星维修站”。</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rPr>
      </w:pPr>
      <w:r>
        <w:rPr>
          <w:rFonts w:ascii="微软雅黑" w:hAnsi="微软雅黑" w:eastAsia="微软雅黑"/>
        </w:rPr>
        <w:drawing>
          <wp:inline distT="0" distB="0" distL="114300" distR="114300">
            <wp:extent cx="3225165" cy="18103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225781" cy="18108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Style w:val="17"/>
          <w:rFonts w:ascii="微软雅黑" w:hAnsi="微软雅黑" w:eastAsia="微软雅黑"/>
          <w:sz w:val="21"/>
          <w:szCs w:val="21"/>
        </w:rPr>
      </w:pPr>
      <w:r>
        <w:rPr>
          <w:rFonts w:hint="eastAsia" w:ascii="微软雅黑" w:hAnsi="微软雅黑" w:eastAsia="微软雅黑"/>
          <w:sz w:val="21"/>
          <w:szCs w:val="21"/>
        </w:rPr>
        <w:t>视频：</w:t>
      </w:r>
      <w:r>
        <w:fldChar w:fldCharType="begin"/>
      </w:r>
      <w:r>
        <w:instrText xml:space="preserve"> HYPERLINK "https://www.bilibili.com/video/BV1Lz4y1S7kL/" </w:instrText>
      </w:r>
      <w:r>
        <w:fldChar w:fldCharType="separate"/>
      </w:r>
      <w:r>
        <w:rPr>
          <w:rStyle w:val="17"/>
          <w:rFonts w:ascii="微软雅黑" w:hAnsi="微软雅黑" w:eastAsia="微软雅黑"/>
          <w:sz w:val="21"/>
          <w:szCs w:val="21"/>
        </w:rPr>
        <w:t>https://www.bilibili.com/video/BV1Lz4y1S7kL/</w:t>
      </w:r>
      <w:r>
        <w:rPr>
          <w:rStyle w:val="17"/>
          <w:rFonts w:ascii="微软雅黑" w:hAnsi="微软雅黑" w:eastAsia="微软雅黑"/>
          <w:sz w:val="21"/>
          <w:szCs w:val="21"/>
        </w:rPr>
        <w:fldChar w:fldCharType="end"/>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《发现精彩 -“迷妹”秋香篇》</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对应产品优势：好文好货好下单</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满足用户需求：线上购物，多快好省。</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内容创意：唐伯虎变身带货主播，美妆迷妹好货说到就到。</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rPr>
          <w:rFonts w:ascii="微软雅黑" w:hAnsi="微软雅黑" w:eastAsia="微软雅黑"/>
        </w:rPr>
        <w:drawing>
          <wp:inline distT="0" distB="0" distL="114300" distR="114300">
            <wp:extent cx="3227705" cy="1812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244802" cy="1821707"/>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Style w:val="17"/>
          <w:rFonts w:ascii="微软雅黑" w:hAnsi="微软雅黑" w:eastAsia="微软雅黑"/>
          <w:sz w:val="21"/>
          <w:szCs w:val="21"/>
        </w:rPr>
      </w:pPr>
      <w:r>
        <w:rPr>
          <w:rFonts w:hint="eastAsia" w:ascii="微软雅黑" w:hAnsi="微软雅黑" w:eastAsia="微软雅黑"/>
          <w:sz w:val="21"/>
          <w:szCs w:val="21"/>
        </w:rPr>
        <w:t>视频：</w:t>
      </w:r>
      <w:r>
        <w:rPr>
          <w:rFonts w:ascii="微软雅黑" w:hAnsi="微软雅黑" w:eastAsia="微软雅黑"/>
          <w:sz w:val="21"/>
          <w:szCs w:val="21"/>
        </w:rPr>
        <w:t xml:space="preserve"> </w:t>
      </w:r>
      <w:r>
        <w:fldChar w:fldCharType="begin"/>
      </w:r>
      <w:r>
        <w:instrText xml:space="preserve"> HYPERLINK "https://www.bilibili.com/video/BV1VU4y147wv/" </w:instrText>
      </w:r>
      <w:r>
        <w:fldChar w:fldCharType="separate"/>
      </w:r>
      <w:r>
        <w:rPr>
          <w:rStyle w:val="17"/>
          <w:rFonts w:ascii="微软雅黑" w:hAnsi="微软雅黑" w:eastAsia="微软雅黑"/>
          <w:sz w:val="21"/>
          <w:szCs w:val="21"/>
        </w:rPr>
        <w:t>https://www.bilibili.com/video/BV1VU4y147wv/</w:t>
      </w:r>
      <w:r>
        <w:rPr>
          <w:rStyle w:val="17"/>
          <w:rFonts w:ascii="微软雅黑" w:hAnsi="微软雅黑" w:eastAsia="微软雅黑"/>
          <w:sz w:val="21"/>
          <w:szCs w:val="21"/>
        </w:rPr>
        <w:fldChar w:fldCharType="end"/>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《发现精彩 -“智”娶秋香篇》</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对应产品优势：智能推荐赢芳心</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满足用户需求：语音搜索、智能推荐，让银行app更懂你心。</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内容创意：唐伯虎式rap重现江湖，“撩妹神器”助其听懂秋香心。</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rPr>
          <w:rFonts w:ascii="微软雅黑" w:hAnsi="微软雅黑" w:eastAsia="微软雅黑"/>
        </w:rPr>
        <w:drawing>
          <wp:inline distT="0" distB="0" distL="114300" distR="114300">
            <wp:extent cx="3227070" cy="18103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227502" cy="18108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Style w:val="17"/>
          <w:rFonts w:ascii="微软雅黑" w:hAnsi="微软雅黑" w:eastAsia="微软雅黑"/>
          <w:sz w:val="21"/>
          <w:szCs w:val="21"/>
        </w:rPr>
      </w:pPr>
      <w:r>
        <w:rPr>
          <w:rFonts w:hint="eastAsia" w:ascii="微软雅黑" w:hAnsi="微软雅黑" w:eastAsia="微软雅黑"/>
          <w:sz w:val="21"/>
          <w:szCs w:val="21"/>
        </w:rPr>
        <w:t>视频：</w:t>
      </w:r>
      <w:r>
        <w:fldChar w:fldCharType="begin"/>
      </w:r>
      <w:r>
        <w:instrText xml:space="preserve"> HYPERLINK "https://www.bilibili.com/video/BV1Zv4y1Z7ua/" </w:instrText>
      </w:r>
      <w:r>
        <w:fldChar w:fldCharType="separate"/>
      </w:r>
      <w:r>
        <w:rPr>
          <w:rStyle w:val="17"/>
          <w:rFonts w:ascii="微软雅黑" w:hAnsi="微软雅黑" w:eastAsia="微软雅黑"/>
          <w:sz w:val="21"/>
          <w:szCs w:val="21"/>
        </w:rPr>
        <w:t>https://www.bilibili.com/video/BV1Zv4y1Z7ua/</w:t>
      </w:r>
      <w:r>
        <w:rPr>
          <w:rStyle w:val="17"/>
          <w:rFonts w:ascii="微软雅黑" w:hAnsi="微软雅黑" w:eastAsia="微软雅黑"/>
          <w:sz w:val="21"/>
          <w:szCs w:val="21"/>
        </w:rPr>
        <w:fldChar w:fldCharType="end"/>
      </w:r>
    </w:p>
    <w:p>
      <w:pPr>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引爆期亮点：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rPr>
        <w:t>创意展厅+直播，多元生态内容设计——重磅打造银行生态圈大事件聚焦关注</w:t>
      </w:r>
      <w:r>
        <w:rPr>
          <w:rFonts w:hint="eastAsia" w:ascii="微软雅黑" w:hAnsi="微软雅黑" w:eastAsia="微软雅黑"/>
          <w:b/>
          <w:bCs/>
          <w:sz w:val="21"/>
          <w:szCs w:val="21"/>
          <w:lang w:eastAsia="zh-CN"/>
        </w:rPr>
        <w:t>。</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打造V5精彩小镇线下快闪主题展厅</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结合平台生态圈，在商业街打造6大主题小镇展厅，让用户直观感受广发银行5.0的百种精彩。</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5573395" cy="1866265"/>
            <wp:effectExtent l="0" t="0" r="1905" b="635"/>
            <wp:docPr id="5" name="图片 5" descr="图片1_看图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_看图王(2)"/>
                    <pic:cNvPicPr>
                      <a:picLocks noChangeAspect="1"/>
                    </pic:cNvPicPr>
                  </pic:nvPicPr>
                  <pic:blipFill>
                    <a:blip r:embed="rId13"/>
                    <a:stretch>
                      <a:fillRect/>
                    </a:stretch>
                  </pic:blipFill>
                  <pic:spPr>
                    <a:xfrm>
                      <a:off x="0" y="0"/>
                      <a:ext cx="5573395" cy="1866265"/>
                    </a:xfrm>
                    <a:prstGeom prst="rect">
                      <a:avLst/>
                    </a:prstGeom>
                  </pic:spPr>
                </pic:pic>
              </a:graphicData>
            </a:graphic>
          </wp:inline>
        </w:drawing>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各行业商家跨界助阵直播带货</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结合6大主题展厅搭台线上直播带货，通过商家爆款权益助力平台破圈传播，有效提升平台用户活跃度。</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rPr>
          <w:rFonts w:hint="eastAsia" w:ascii="微软雅黑" w:hAnsi="微软雅黑" w:eastAsia="微软雅黑"/>
          <w:sz w:val="21"/>
          <w:szCs w:val="21"/>
        </w:rPr>
        <w:drawing>
          <wp:inline distT="0" distB="0" distL="0" distR="0">
            <wp:extent cx="2312035" cy="15430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6288" cy="1572227"/>
                    </a:xfrm>
                    <a:prstGeom prst="rect">
                      <a:avLst/>
                    </a:prstGeom>
                  </pic:spPr>
                </pic:pic>
              </a:graphicData>
            </a:graphic>
          </wp:inline>
        </w:drawing>
      </w:r>
      <w:r>
        <w:rPr>
          <w:rFonts w:ascii="微软雅黑" w:hAnsi="微软雅黑" w:eastAsia="微软雅黑"/>
          <w:sz w:val="21"/>
          <w:szCs w:val="21"/>
        </w:rPr>
        <w:t xml:space="preserve">  </w:t>
      </w:r>
      <w:r>
        <w:rPr>
          <w:rFonts w:hint="eastAsia" w:ascii="微软雅黑" w:hAnsi="微软雅黑" w:eastAsia="微软雅黑"/>
          <w:sz w:val="21"/>
          <w:szCs w:val="21"/>
        </w:rPr>
        <w:drawing>
          <wp:inline distT="0" distB="0" distL="0" distR="0">
            <wp:extent cx="2312035" cy="15386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0240" cy="1544131"/>
                    </a:xfrm>
                    <a:prstGeom prst="rect">
                      <a:avLst/>
                    </a:prstGeom>
                  </pic:spPr>
                </pic:pic>
              </a:graphicData>
            </a:graphic>
          </wp:inline>
        </w:drawing>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val="0"/>
          <w:bCs w:val="0"/>
          <w:szCs w:val="21"/>
        </w:rPr>
      </w:pPr>
      <w:r>
        <w:rPr>
          <w:rFonts w:hint="eastAsia" w:ascii="微软雅黑" w:hAnsi="微软雅黑" w:eastAsia="微软雅黑"/>
          <w:b w:val="0"/>
          <w:bCs w:val="0"/>
          <w:szCs w:val="21"/>
        </w:rPr>
        <w:t>预热期宣传视频中的主角们出现在快闪展厅中，破次元壁引围观。</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bCs/>
          <w:sz w:val="21"/>
          <w:szCs w:val="21"/>
        </w:rPr>
      </w:pPr>
      <w:r>
        <w:rPr>
          <w:rFonts w:ascii="微软雅黑" w:hAnsi="微软雅黑" w:eastAsia="微软雅黑"/>
          <w:b/>
          <w:bCs/>
          <w:sz w:val="21"/>
          <w:szCs w:val="21"/>
        </w:rPr>
        <w:drawing>
          <wp:inline distT="0" distB="0" distL="0" distR="0">
            <wp:extent cx="2957830" cy="16776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extLst>
                        <a:ext uri="{28A0092B-C50C-407E-A947-70E740481C1C}">
                          <a14:useLocalDpi xmlns:a14="http://schemas.microsoft.com/office/drawing/2010/main" val="0"/>
                        </a:ext>
                      </a:extLst>
                    </a:blip>
                    <a:srcRect r="2593"/>
                    <a:stretch>
                      <a:fillRect/>
                    </a:stretch>
                  </pic:blipFill>
                  <pic:spPr>
                    <a:xfrm>
                      <a:off x="0" y="0"/>
                      <a:ext cx="2959562" cy="1678401"/>
                    </a:xfrm>
                    <a:prstGeom prst="rect">
                      <a:avLst/>
                    </a:prstGeom>
                    <a:ln>
                      <a:noFill/>
                    </a:ln>
                  </pic:spPr>
                </pic:pic>
              </a:graphicData>
            </a:graphic>
          </wp:inline>
        </w:drawing>
      </w:r>
      <w:r>
        <w:rPr>
          <w:rFonts w:ascii="微软雅黑" w:hAnsi="微软雅黑" w:eastAsia="微软雅黑"/>
          <w:b/>
          <w:bCs/>
          <w:sz w:val="21"/>
          <w:szCs w:val="21"/>
        </w:rPr>
        <w:t xml:space="preserve">  </w:t>
      </w:r>
      <w:r>
        <w:rPr>
          <w:rFonts w:ascii="微软雅黑" w:hAnsi="微软雅黑" w:eastAsia="微软雅黑"/>
          <w:b/>
          <w:bCs/>
          <w:sz w:val="21"/>
          <w:szCs w:val="21"/>
        </w:rPr>
        <w:drawing>
          <wp:inline distT="0" distB="0" distL="0" distR="0">
            <wp:extent cx="2531745" cy="1687830"/>
            <wp:effectExtent l="0" t="0" r="190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2639" cy="1688426"/>
                    </a:xfrm>
                    <a:prstGeom prst="rect">
                      <a:avLst/>
                    </a:prstGeom>
                  </pic:spPr>
                </pic:pic>
              </a:graphicData>
            </a:graphic>
          </wp:inline>
        </w:drawing>
      </w:r>
    </w:p>
    <w:p>
      <w:pPr>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深度传播亮点</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私域的精准化运营和外部的媒介优化组合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对于银行存量客户，根据用户画像挖掘用户需求，对应以不同的方式，推送不同的利益点信息。完成广发银行新一轮用户的累积与盘活。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外部媒介一方面充分运用时下热门的新媒体及社交媒体平台进行推广（包括朋友圈广告、微博、 抖音、小红书等平台），一方面精选高端社区、高铁地铁、商业街大屏等硬广渠道，进行造势。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同时，联合多家品牌进行跨界宣传，结合跨界品牌用户需求，垂直打通用户群。</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rPr>
          <w:rFonts w:ascii="微软雅黑" w:hAnsi="微软雅黑" w:eastAsia="微软雅黑"/>
        </w:rPr>
        <w:drawing>
          <wp:anchor distT="0" distB="0" distL="114300" distR="114300" simplePos="0" relativeHeight="251662336" behindDoc="0" locked="0" layoutInCell="1" allowOverlap="1">
            <wp:simplePos x="0" y="0"/>
            <wp:positionH relativeFrom="column">
              <wp:posOffset>3892550</wp:posOffset>
            </wp:positionH>
            <wp:positionV relativeFrom="paragraph">
              <wp:posOffset>6985</wp:posOffset>
            </wp:positionV>
            <wp:extent cx="1404620" cy="1519555"/>
            <wp:effectExtent l="0" t="0" r="5080" b="4445"/>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1404620" cy="1519555"/>
                    </a:xfrm>
                    <a:prstGeom prst="rect">
                      <a:avLst/>
                    </a:prstGeom>
                    <a:noFill/>
                    <a:ln>
                      <a:noFill/>
                    </a:ln>
                  </pic:spPr>
                </pic:pic>
              </a:graphicData>
            </a:graphic>
          </wp:anchor>
        </w:drawing>
      </w:r>
      <w:r>
        <w:rPr>
          <w:rFonts w:ascii="微软雅黑" w:hAnsi="微软雅黑" w:eastAsia="微软雅黑"/>
        </w:rPr>
        <w:drawing>
          <wp:inline distT="0" distB="0" distL="114300" distR="114300">
            <wp:extent cx="3078480" cy="1537335"/>
            <wp:effectExtent l="0" t="0" r="762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3078480" cy="15373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品牌联合43家；微博KOL</w:t>
      </w:r>
      <w:r>
        <w:rPr>
          <w:rFonts w:hint="eastAsia" w:ascii="微软雅黑" w:hAnsi="微软雅黑" w:eastAsia="微软雅黑"/>
          <w:sz w:val="21"/>
          <w:szCs w:val="21"/>
          <w:lang w:val="en-US" w:eastAsia="zh-CN"/>
        </w:rPr>
        <w:t xml:space="preserve"> </w:t>
      </w:r>
      <w:r>
        <w:rPr>
          <w:rFonts w:hint="eastAsia" w:ascii="微软雅黑" w:hAnsi="微软雅黑" w:eastAsia="微软雅黑"/>
          <w:sz w:val="21"/>
          <w:szCs w:val="21"/>
        </w:rPr>
        <w:t>20家；7篇公关稿件发布100频次，涉及45余家主流媒体；微博话题 阅读突破5000万，讨论量达66万。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drawing>
          <wp:inline distT="0" distB="0" distL="114300" distR="114300">
            <wp:extent cx="5605780" cy="2872105"/>
            <wp:effectExtent l="0" t="0" r="13970" b="4445"/>
            <wp:docPr id="6" name="图片 6" descr="演示文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演示文稿1"/>
                    <pic:cNvPicPr>
                      <a:picLocks noChangeAspect="1"/>
                    </pic:cNvPicPr>
                  </pic:nvPicPr>
                  <pic:blipFill>
                    <a:blip r:embed="rId20"/>
                    <a:srcRect b="8904"/>
                    <a:stretch>
                      <a:fillRect/>
                    </a:stretch>
                  </pic:blipFill>
                  <pic:spPr>
                    <a:xfrm>
                      <a:off x="0" y="0"/>
                      <a:ext cx="5605780" cy="28721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广发银行发现精彩APP5.0上线后的 15 天内，用户活跃率提升30%，拉新人数同比增长78%，其中35 岁以下年轻人数同比增长92%</w:t>
      </w:r>
      <w:r>
        <w:rPr>
          <w:rFonts w:hint="eastAsia" w:ascii="微软雅黑" w:hAnsi="微软雅黑" w:eastAsia="微软雅黑"/>
          <w:sz w:val="21"/>
          <w:szCs w:val="21"/>
          <w:lang w:eastAsia="zh-CN"/>
        </w:rPr>
        <w:t>。</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E36A92"/>
    <w:multiLevelType w:val="singleLevel"/>
    <w:tmpl w:val="E6E36A92"/>
    <w:lvl w:ilvl="0" w:tentative="0">
      <w:start w:val="1"/>
      <w:numFmt w:val="decimal"/>
      <w:suff w:val="nothing"/>
      <w:lvlText w:val="%1、"/>
      <w:lvlJc w:val="left"/>
    </w:lvl>
  </w:abstractNum>
  <w:abstractNum w:abstractNumId="1">
    <w:nsid w:val="28562E15"/>
    <w:multiLevelType w:val="singleLevel"/>
    <w:tmpl w:val="28562E15"/>
    <w:lvl w:ilvl="0" w:tentative="0">
      <w:start w:val="1"/>
      <w:numFmt w:val="decimal"/>
      <w:suff w:val="nothing"/>
      <w:lvlText w:val="%1、"/>
      <w:lvlJc w:val="left"/>
    </w:lvl>
  </w:abstractNum>
  <w:abstractNum w:abstractNumId="2">
    <w:nsid w:val="59F19841"/>
    <w:multiLevelType w:val="singleLevel"/>
    <w:tmpl w:val="59F19841"/>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87779"/>
    <w:rsid w:val="000915E6"/>
    <w:rsid w:val="00097129"/>
    <w:rsid w:val="000979A5"/>
    <w:rsid w:val="000A3EB7"/>
    <w:rsid w:val="000B2399"/>
    <w:rsid w:val="000C773F"/>
    <w:rsid w:val="000D05FE"/>
    <w:rsid w:val="000D6DC9"/>
    <w:rsid w:val="000E10C0"/>
    <w:rsid w:val="000E18A5"/>
    <w:rsid w:val="000E2A45"/>
    <w:rsid w:val="000F07ED"/>
    <w:rsid w:val="000F4F10"/>
    <w:rsid w:val="000F5168"/>
    <w:rsid w:val="000F63B2"/>
    <w:rsid w:val="0010607C"/>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3F8E"/>
    <w:rsid w:val="002E5F7B"/>
    <w:rsid w:val="002E7E41"/>
    <w:rsid w:val="002F2AF3"/>
    <w:rsid w:val="002F3A4B"/>
    <w:rsid w:val="002F7E7A"/>
    <w:rsid w:val="003056B8"/>
    <w:rsid w:val="00311DCD"/>
    <w:rsid w:val="00315A83"/>
    <w:rsid w:val="00317BD4"/>
    <w:rsid w:val="00320B21"/>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194A"/>
    <w:rsid w:val="00484916"/>
    <w:rsid w:val="004861A7"/>
    <w:rsid w:val="0048758B"/>
    <w:rsid w:val="00491A67"/>
    <w:rsid w:val="00492C50"/>
    <w:rsid w:val="004A4904"/>
    <w:rsid w:val="004C539E"/>
    <w:rsid w:val="004D3EF9"/>
    <w:rsid w:val="004D53A9"/>
    <w:rsid w:val="004D72B1"/>
    <w:rsid w:val="004E459E"/>
    <w:rsid w:val="004E704D"/>
    <w:rsid w:val="004F1399"/>
    <w:rsid w:val="004F7523"/>
    <w:rsid w:val="005002D8"/>
    <w:rsid w:val="00504FF8"/>
    <w:rsid w:val="00506B17"/>
    <w:rsid w:val="00507EB8"/>
    <w:rsid w:val="0052080E"/>
    <w:rsid w:val="005344CB"/>
    <w:rsid w:val="00535A1F"/>
    <w:rsid w:val="005479C8"/>
    <w:rsid w:val="00547E1C"/>
    <w:rsid w:val="005504E6"/>
    <w:rsid w:val="0055479D"/>
    <w:rsid w:val="005624DF"/>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1A55"/>
    <w:rsid w:val="006853C8"/>
    <w:rsid w:val="00693C3F"/>
    <w:rsid w:val="006955F5"/>
    <w:rsid w:val="006A24F1"/>
    <w:rsid w:val="006B5BB6"/>
    <w:rsid w:val="006C16A7"/>
    <w:rsid w:val="006C1733"/>
    <w:rsid w:val="006D2064"/>
    <w:rsid w:val="006D4934"/>
    <w:rsid w:val="006D5766"/>
    <w:rsid w:val="006E40DE"/>
    <w:rsid w:val="006F421E"/>
    <w:rsid w:val="006F662D"/>
    <w:rsid w:val="007040B0"/>
    <w:rsid w:val="007075C9"/>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2B9E"/>
    <w:rsid w:val="0085738D"/>
    <w:rsid w:val="008612D4"/>
    <w:rsid w:val="008674D7"/>
    <w:rsid w:val="00880022"/>
    <w:rsid w:val="008875A4"/>
    <w:rsid w:val="008926A0"/>
    <w:rsid w:val="008B2200"/>
    <w:rsid w:val="008B689B"/>
    <w:rsid w:val="008C2693"/>
    <w:rsid w:val="008F2CAF"/>
    <w:rsid w:val="008F5EA9"/>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05F46"/>
    <w:rsid w:val="00A11FF6"/>
    <w:rsid w:val="00A13235"/>
    <w:rsid w:val="00A15A3E"/>
    <w:rsid w:val="00A15DCA"/>
    <w:rsid w:val="00A17315"/>
    <w:rsid w:val="00A24029"/>
    <w:rsid w:val="00A260D7"/>
    <w:rsid w:val="00A26AE6"/>
    <w:rsid w:val="00A27228"/>
    <w:rsid w:val="00A3569B"/>
    <w:rsid w:val="00A35C7F"/>
    <w:rsid w:val="00A3778A"/>
    <w:rsid w:val="00A37970"/>
    <w:rsid w:val="00A44A15"/>
    <w:rsid w:val="00A51A67"/>
    <w:rsid w:val="00A52343"/>
    <w:rsid w:val="00A54EAE"/>
    <w:rsid w:val="00A56181"/>
    <w:rsid w:val="00A57B51"/>
    <w:rsid w:val="00A631B1"/>
    <w:rsid w:val="00A71293"/>
    <w:rsid w:val="00A71B32"/>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30F5B"/>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2A80"/>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04B44"/>
    <w:rsid w:val="00F22C99"/>
    <w:rsid w:val="00F35569"/>
    <w:rsid w:val="00F3618F"/>
    <w:rsid w:val="00F4008B"/>
    <w:rsid w:val="00F41E61"/>
    <w:rsid w:val="00F503C8"/>
    <w:rsid w:val="00F52780"/>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5BF1563"/>
    <w:rsid w:val="05C04D33"/>
    <w:rsid w:val="0A7F76A0"/>
    <w:rsid w:val="18F852ED"/>
    <w:rsid w:val="26046331"/>
    <w:rsid w:val="29246BE9"/>
    <w:rsid w:val="2B4E52EA"/>
    <w:rsid w:val="383C3619"/>
    <w:rsid w:val="39994A20"/>
    <w:rsid w:val="3D2D10F9"/>
    <w:rsid w:val="3FCC6620"/>
    <w:rsid w:val="45641F93"/>
    <w:rsid w:val="4EF00DA2"/>
    <w:rsid w:val="51EF4438"/>
    <w:rsid w:val="588B6133"/>
    <w:rsid w:val="5BF67FA2"/>
    <w:rsid w:val="62C90120"/>
    <w:rsid w:val="63706182"/>
    <w:rsid w:val="766B4186"/>
    <w:rsid w:val="78CC12D1"/>
    <w:rsid w:val="79BD3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6"/>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8"/>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semiHidden/>
    <w:unhideWhenUsed/>
    <w:uiPriority w:val="99"/>
    <w:rPr>
      <w:color w:val="800080" w:themeColor="followedHyperlink"/>
      <w:u w:val="single"/>
      <w14:textFill>
        <w14:solidFill>
          <w14:schemeClr w14:val="folHlink"/>
        </w14:solidFill>
      </w14:textFill>
    </w:rPr>
  </w:style>
  <w:style w:type="character" w:styleId="16">
    <w:name w:val="Emphasis"/>
    <w:basedOn w:val="12"/>
    <w:qFormat/>
    <w:uiPriority w:val="0"/>
    <w:rPr>
      <w:i/>
    </w:rPr>
  </w:style>
  <w:style w:type="character" w:styleId="17">
    <w:name w:val="Hyperlink"/>
    <w:basedOn w:val="12"/>
    <w:qFormat/>
    <w:uiPriority w:val="0"/>
    <w:rPr>
      <w:color w:val="0000FF"/>
      <w:u w:val="single"/>
    </w:rPr>
  </w:style>
  <w:style w:type="character" w:customStyle="1" w:styleId="18">
    <w:name w:val="标题 字符"/>
    <w:basedOn w:val="12"/>
    <w:link w:val="9"/>
    <w:qFormat/>
    <w:uiPriority w:val="0"/>
    <w:rPr>
      <w:b/>
      <w:sz w:val="28"/>
      <w:lang w:eastAsia="en-US"/>
    </w:rPr>
  </w:style>
  <w:style w:type="character" w:customStyle="1" w:styleId="19">
    <w:name w:val="bottom1"/>
    <w:basedOn w:val="12"/>
    <w:qFormat/>
    <w:uiPriority w:val="0"/>
    <w:rPr>
      <w:color w:val="6E6E6E"/>
    </w:rPr>
  </w:style>
  <w:style w:type="character" w:customStyle="1" w:styleId="20">
    <w:name w:val="apple-converted-space"/>
    <w:basedOn w:val="12"/>
    <w:qFormat/>
    <w:uiPriority w:val="0"/>
  </w:style>
  <w:style w:type="character" w:customStyle="1" w:styleId="21">
    <w:name w:val="apple-style-span"/>
    <w:basedOn w:val="12"/>
    <w:qFormat/>
    <w:uiPriority w:val="0"/>
  </w:style>
  <w:style w:type="paragraph" w:styleId="22">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3">
    <w:name w:val="p0"/>
    <w:basedOn w:val="1"/>
    <w:qFormat/>
    <w:uiPriority w:val="0"/>
    <w:pPr>
      <w:jc w:val="both"/>
    </w:pPr>
    <w:rPr>
      <w:rFonts w:ascii="Times New Roman" w:hAnsi="Times New Roman" w:cs="Times New Roman"/>
      <w:sz w:val="21"/>
      <w:szCs w:val="20"/>
    </w:rPr>
  </w:style>
  <w:style w:type="paragraph" w:customStyle="1" w:styleId="24">
    <w:name w:val="css"/>
    <w:basedOn w:val="1"/>
    <w:qFormat/>
    <w:uiPriority w:val="0"/>
    <w:pPr>
      <w:spacing w:before="100" w:beforeAutospacing="1" w:after="100" w:afterAutospacing="1"/>
    </w:pPr>
    <w:rPr>
      <w:rFonts w:cs="Times New Roman"/>
      <w:color w:val="0F0000"/>
      <w:sz w:val="18"/>
      <w:szCs w:val="20"/>
    </w:rPr>
  </w:style>
  <w:style w:type="paragraph" w:customStyle="1" w:styleId="25">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6">
    <w:name w:val="批注框文本 字符"/>
    <w:basedOn w:val="12"/>
    <w:link w:val="5"/>
    <w:semiHidden/>
    <w:qFormat/>
    <w:uiPriority w:val="99"/>
    <w:rPr>
      <w:kern w:val="2"/>
      <w:sz w:val="18"/>
      <w:szCs w:val="18"/>
    </w:rPr>
  </w:style>
  <w:style w:type="character" w:customStyle="1" w:styleId="27">
    <w:name w:val="Unresolved Mention"/>
    <w:basedOn w:val="1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5</Pages>
  <Words>316</Words>
  <Characters>1807</Characters>
  <Lines>15</Lines>
  <Paragraphs>4</Paragraphs>
  <TotalTime>2</TotalTime>
  <ScaleCrop>false</ScaleCrop>
  <LinksUpToDate>false</LinksUpToDate>
  <CharactersWithSpaces>2119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2021-02-21T08:55:14Z</dcterms:modified>
  <dc:title>No</dc:title>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