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1F37F05" w14:textId="264A587D" w:rsidR="00C53E9C" w:rsidRDefault="00822AB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822AB9">
        <w:rPr>
          <w:rFonts w:ascii="微软雅黑" w:eastAsia="微软雅黑" w:hAnsi="微软雅黑" w:hint="eastAsia"/>
          <w:b/>
          <w:bCs/>
          <w:sz w:val="32"/>
          <w:szCs w:val="32"/>
        </w:rPr>
        <w:t>观星盘</w:t>
      </w:r>
    </w:p>
    <w:p w14:paraId="554752B4" w14:textId="4738614E" w:rsidR="00C53E9C" w:rsidRPr="00822AB9" w:rsidRDefault="00E20AAA">
      <w:pPr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822AB9" w:rsidRPr="00822AB9">
        <w:rPr>
          <w:rFonts w:ascii="微软雅黑" w:eastAsia="微软雅黑" w:hAnsi="微软雅黑" w:hint="eastAsia"/>
          <w:color w:val="000000" w:themeColor="text1"/>
          <w:kern w:val="0"/>
        </w:rPr>
        <w:t>年度最佳数字营销平台</w:t>
      </w:r>
    </w:p>
    <w:p w14:paraId="2C3CA9F8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0247E09D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szCs w:val="21"/>
        </w:rPr>
        <w:t>开发背景：</w:t>
      </w:r>
    </w:p>
    <w:p w14:paraId="1A80A83A" w14:textId="77777777" w:rsidR="00C53E9C" w:rsidRDefault="00E41C55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基于百度强大的大数据能力，打造一套完整的、支持所有</w:t>
      </w:r>
      <w:proofErr w:type="gramStart"/>
      <w:r>
        <w:rPr>
          <w:rFonts w:ascii="微软雅黑" w:eastAsia="微软雅黑" w:hAnsi="微软雅黑" w:hint="eastAsia"/>
          <w:szCs w:val="21"/>
        </w:rPr>
        <w:t>品牌主</w:t>
      </w:r>
      <w:proofErr w:type="gramEnd"/>
      <w:r w:rsidR="00E20AAA">
        <w:rPr>
          <w:rFonts w:ascii="微软雅黑" w:eastAsia="微软雅黑" w:hAnsi="微软雅黑" w:hint="eastAsia"/>
          <w:szCs w:val="21"/>
        </w:rPr>
        <w:t>的全</w:t>
      </w:r>
      <w:r>
        <w:rPr>
          <w:rFonts w:ascii="微软雅黑" w:eastAsia="微软雅黑" w:hAnsi="微软雅黑" w:hint="eastAsia"/>
          <w:szCs w:val="21"/>
        </w:rPr>
        <w:t>营销</w:t>
      </w:r>
      <w:r w:rsidR="00E20AAA">
        <w:rPr>
          <w:rFonts w:ascii="微软雅黑" w:eastAsia="微软雅黑" w:hAnsi="微软雅黑" w:hint="eastAsia"/>
          <w:szCs w:val="21"/>
        </w:rPr>
        <w:t>流程数据产品</w:t>
      </w:r>
      <w:r>
        <w:rPr>
          <w:rFonts w:ascii="微软雅黑" w:eastAsia="微软雅黑" w:hAnsi="微软雅黑" w:hint="eastAsia"/>
          <w:szCs w:val="21"/>
        </w:rPr>
        <w:t>。</w:t>
      </w:r>
      <w:r w:rsidR="00E20AAA">
        <w:rPr>
          <w:rFonts w:ascii="微软雅黑" w:eastAsia="微软雅黑" w:hAnsi="微软雅黑" w:hint="eastAsia"/>
          <w:szCs w:val="21"/>
        </w:rPr>
        <w:t>对现有数据平台业务系统整合，</w:t>
      </w:r>
      <w:r w:rsidR="00E20AAA">
        <w:rPr>
          <w:rFonts w:ascii="微软雅黑" w:eastAsia="微软雅黑" w:hAnsi="微软雅黑" w:hint="eastAsia"/>
          <w:bCs/>
          <w:iCs/>
          <w:szCs w:val="21"/>
        </w:rPr>
        <w:t>针对不同行业，深度洞察品牌和用户特征，全域数据洞察分析，全场景人群策略制定，投后效果跟踪和度量，</w:t>
      </w:r>
      <w:r w:rsidR="00E20AAA">
        <w:rPr>
          <w:rFonts w:ascii="微软雅黑" w:eastAsia="微软雅黑" w:hAnsi="微软雅黑" w:hint="eastAsia"/>
          <w:szCs w:val="21"/>
        </w:rPr>
        <w:t>全链路数据资产沉淀、分析</w:t>
      </w:r>
      <w:r w:rsidR="00E20AAA">
        <w:rPr>
          <w:rFonts w:ascii="微软雅黑" w:eastAsia="微软雅黑" w:hAnsi="微软雅黑" w:hint="eastAsia"/>
          <w:bCs/>
          <w:iCs/>
          <w:szCs w:val="21"/>
        </w:rPr>
        <w:t>和</w:t>
      </w:r>
      <w:r w:rsidR="00E20AAA">
        <w:rPr>
          <w:rFonts w:ascii="微软雅黑" w:eastAsia="微软雅黑" w:hAnsi="微软雅黑" w:hint="eastAsia"/>
          <w:szCs w:val="21"/>
        </w:rPr>
        <w:t>再营销，驱动</w:t>
      </w:r>
      <w:proofErr w:type="gramStart"/>
      <w:r>
        <w:rPr>
          <w:rFonts w:ascii="微软雅黑" w:eastAsia="微软雅黑" w:hAnsi="微软雅黑" w:hint="eastAsia"/>
          <w:szCs w:val="21"/>
        </w:rPr>
        <w:t>品牌主</w:t>
      </w:r>
      <w:proofErr w:type="gramEnd"/>
      <w:r>
        <w:rPr>
          <w:rFonts w:ascii="微软雅黑" w:eastAsia="微软雅黑" w:hAnsi="微软雅黑" w:hint="eastAsia"/>
          <w:szCs w:val="21"/>
        </w:rPr>
        <w:t>的</w:t>
      </w:r>
      <w:r w:rsidR="00E20AAA">
        <w:rPr>
          <w:rFonts w:ascii="微软雅黑" w:eastAsia="微软雅黑" w:hAnsi="微软雅黑" w:hint="eastAsia"/>
          <w:szCs w:val="21"/>
        </w:rPr>
        <w:t>转化</w:t>
      </w:r>
      <w:r>
        <w:rPr>
          <w:rFonts w:ascii="微软雅黑" w:eastAsia="微软雅黑" w:hAnsi="微软雅黑" w:hint="eastAsia"/>
          <w:szCs w:val="21"/>
        </w:rPr>
        <w:t>及收益提升</w:t>
      </w:r>
      <w:proofErr w:type="gramStart"/>
      <w:r>
        <w:rPr>
          <w:rFonts w:ascii="微软雅黑" w:eastAsia="微软雅黑" w:hAnsi="微软雅黑" w:hint="eastAsia"/>
          <w:szCs w:val="21"/>
        </w:rPr>
        <w:t>提升</w:t>
      </w:r>
      <w:proofErr w:type="gramEnd"/>
      <w:r w:rsidR="00E20AAA">
        <w:rPr>
          <w:rFonts w:ascii="微软雅黑" w:eastAsia="微软雅黑" w:hAnsi="微软雅黑" w:hint="eastAsia"/>
          <w:szCs w:val="21"/>
        </w:rPr>
        <w:t>，挖掘新的数据营销落地场景</w:t>
      </w:r>
      <w:r w:rsidR="00E20AAA">
        <w:rPr>
          <w:rFonts w:ascii="微软雅黑" w:eastAsia="微软雅黑" w:hAnsi="微软雅黑" w:hint="eastAsia"/>
          <w:bCs/>
          <w:iCs/>
          <w:szCs w:val="21"/>
        </w:rPr>
        <w:t>。</w:t>
      </w:r>
    </w:p>
    <w:p w14:paraId="54C26D99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开发时间：2</w:t>
      </w:r>
      <w:r>
        <w:rPr>
          <w:rFonts w:ascii="微软雅黑" w:eastAsia="微软雅黑" w:hAnsi="微软雅黑"/>
          <w:szCs w:val="21"/>
        </w:rPr>
        <w:t>019</w:t>
      </w:r>
      <w:r>
        <w:rPr>
          <w:rFonts w:ascii="微软雅黑" w:eastAsia="微软雅黑" w:hAnsi="微软雅黑" w:hint="eastAsia"/>
          <w:szCs w:val="21"/>
        </w:rPr>
        <w:t>年6月，持续迭代，最近一次全面升级时间：2</w:t>
      </w:r>
      <w:r>
        <w:rPr>
          <w:rFonts w:ascii="微软雅黑" w:eastAsia="微软雅黑" w:hAnsi="微软雅黑"/>
          <w:szCs w:val="21"/>
        </w:rPr>
        <w:t>020</w:t>
      </w:r>
      <w:r>
        <w:rPr>
          <w:rFonts w:ascii="微软雅黑" w:eastAsia="微软雅黑" w:hAnsi="微软雅黑" w:hint="eastAsia"/>
          <w:szCs w:val="21"/>
        </w:rPr>
        <w:t>年8月</w:t>
      </w:r>
      <w:r>
        <w:rPr>
          <w:rFonts w:ascii="微软雅黑" w:eastAsia="微软雅黑" w:hAnsi="微软雅黑"/>
          <w:szCs w:val="21"/>
        </w:rPr>
        <w:t>。</w:t>
      </w:r>
    </w:p>
    <w:p w14:paraId="41F35DB9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核心目标：打造出全新的百度全链AI营销的数字平台，为业界提供一流的数据产品，构建覆盖用户全生命周期的整合营销能力</w:t>
      </w:r>
      <w:r>
        <w:rPr>
          <w:rFonts w:ascii="微软雅黑" w:eastAsia="微软雅黑" w:hAnsi="微软雅黑" w:hint="eastAsia"/>
          <w:bCs/>
          <w:iCs/>
          <w:szCs w:val="21"/>
        </w:rPr>
        <w:t>。</w:t>
      </w:r>
    </w:p>
    <w:p w14:paraId="56C8199B" w14:textId="4A77E610" w:rsidR="00C53E9C" w:rsidRPr="00822AB9" w:rsidRDefault="00E41C55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Cs w:val="21"/>
        </w:rPr>
      </w:pPr>
      <w:r>
        <w:rPr>
          <w:rFonts w:ascii="微软雅黑" w:eastAsia="微软雅黑" w:hAnsi="微软雅黑" w:hint="eastAsia"/>
          <w:szCs w:val="21"/>
        </w:rPr>
        <w:t>使用群体：广告主、代理商、营销</w:t>
      </w:r>
      <w:r w:rsidR="00E20AAA">
        <w:rPr>
          <w:rFonts w:ascii="微软雅黑" w:eastAsia="微软雅黑" w:hAnsi="微软雅黑" w:hint="eastAsia"/>
          <w:szCs w:val="21"/>
        </w:rPr>
        <w:t>策略</w:t>
      </w:r>
      <w:r>
        <w:rPr>
          <w:rFonts w:ascii="微软雅黑" w:eastAsia="微软雅黑" w:hAnsi="微软雅黑" w:hint="eastAsia"/>
          <w:szCs w:val="21"/>
        </w:rPr>
        <w:t>制定</w:t>
      </w:r>
      <w:r w:rsidR="00E20AAA">
        <w:rPr>
          <w:rFonts w:ascii="微软雅黑" w:eastAsia="微软雅黑" w:hAnsi="微软雅黑" w:hint="eastAsia"/>
          <w:szCs w:val="21"/>
        </w:rPr>
        <w:t>人员</w:t>
      </w:r>
      <w:r w:rsidR="00E20AAA">
        <w:rPr>
          <w:rFonts w:ascii="微软雅黑" w:eastAsia="微软雅黑" w:hAnsi="微软雅黑"/>
          <w:szCs w:val="21"/>
        </w:rPr>
        <w:t>。</w:t>
      </w:r>
    </w:p>
    <w:p w14:paraId="558B3669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使用说明</w:t>
      </w:r>
    </w:p>
    <w:p w14:paraId="6D82205B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全域数据洞察</w:t>
      </w:r>
      <w:r>
        <w:rPr>
          <w:rFonts w:ascii="微软雅黑" w:eastAsia="微软雅黑" w:hAnsi="微软雅黑"/>
          <w:b/>
          <w:szCs w:val="21"/>
        </w:rPr>
        <w:t xml:space="preserve"> - </w:t>
      </w:r>
      <w:r>
        <w:rPr>
          <w:rFonts w:ascii="微软雅黑" w:eastAsia="微软雅黑" w:hAnsi="微软雅黑" w:hint="eastAsia"/>
          <w:b/>
          <w:szCs w:val="21"/>
        </w:rPr>
        <w:t>洞察中心</w:t>
      </w:r>
    </w:p>
    <w:p w14:paraId="5174191C" w14:textId="74C1D092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汇聚</w:t>
      </w:r>
      <w:r>
        <w:rPr>
          <w:rFonts w:ascii="微软雅黑" w:eastAsia="微软雅黑" w:hAnsi="微软雅黑"/>
          <w:szCs w:val="21"/>
        </w:rPr>
        <w:t>百度</w:t>
      </w:r>
      <w:r>
        <w:rPr>
          <w:rFonts w:ascii="微软雅黑" w:eastAsia="微软雅黑" w:hAnsi="微软雅黑" w:hint="eastAsia"/>
          <w:szCs w:val="21"/>
        </w:rPr>
        <w:t>公域、商域、</w:t>
      </w:r>
      <w:proofErr w:type="gramStart"/>
      <w:r>
        <w:rPr>
          <w:rFonts w:ascii="微软雅黑" w:eastAsia="微软雅黑" w:hAnsi="微软雅黑" w:hint="eastAsia"/>
          <w:szCs w:val="21"/>
        </w:rPr>
        <w:t>私域海量</w:t>
      </w:r>
      <w:proofErr w:type="gramEnd"/>
      <w:r>
        <w:rPr>
          <w:rFonts w:ascii="微软雅黑" w:eastAsia="微软雅黑" w:hAnsi="微软雅黑" w:hint="eastAsia"/>
          <w:szCs w:val="21"/>
        </w:rPr>
        <w:t>数据，</w:t>
      </w:r>
      <w:r>
        <w:rPr>
          <w:rFonts w:ascii="微软雅黑" w:eastAsia="微软雅黑" w:hAnsi="微软雅黑"/>
          <w:szCs w:val="21"/>
        </w:rPr>
        <w:t>提供丰富的行业及品牌洞察能力</w:t>
      </w:r>
      <w:r>
        <w:rPr>
          <w:rFonts w:ascii="微软雅黑" w:eastAsia="微软雅黑" w:hAnsi="微软雅黑" w:hint="eastAsia"/>
          <w:szCs w:val="21"/>
        </w:rPr>
        <w:t>，全方位感</w:t>
      </w:r>
      <w:r>
        <w:rPr>
          <w:rFonts w:ascii="微软雅黑" w:eastAsia="微软雅黑" w:hAnsi="微软雅黑"/>
          <w:szCs w:val="21"/>
        </w:rPr>
        <w:t>知用户行为和意图</w:t>
      </w:r>
      <w:r>
        <w:rPr>
          <w:rFonts w:ascii="微软雅黑" w:eastAsia="微软雅黑" w:hAnsi="微软雅黑" w:hint="eastAsia"/>
          <w:szCs w:val="21"/>
        </w:rPr>
        <w:t>，进行全方位数据刻画，帮用户找到目标受众。</w:t>
      </w:r>
    </w:p>
    <w:p w14:paraId="6DF4177E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核心功能：</w:t>
      </w:r>
    </w:p>
    <w:p w14:paraId="48363230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行业洞察：从市场宏观洞察、行业用户行为、行业竞争格局等多重维度洞悉行业走势及发展趋势。</w:t>
      </w:r>
    </w:p>
    <w:p w14:paraId="62302730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3E41DCC" wp14:editId="6A198EA2">
            <wp:extent cx="4992911" cy="20256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054" cy="20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4EC7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品牌洞察：从搜索份额、市场竞争、市场潜力、消费者决策偏好、搜索特征、消费者决策行为、消费者差异等多重维度洞察品牌，以及包括与其他品牌或竞品之间的市场关系。</w:t>
      </w:r>
    </w:p>
    <w:p w14:paraId="2C47092D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4C79230" wp14:editId="17D131BD">
            <wp:extent cx="5511165" cy="3008537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5621" cy="301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D7F1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关键词洞察：提供多种日常分析工具，辅助支持行业洞察和品牌洞察。</w:t>
      </w:r>
    </w:p>
    <w:p w14:paraId="4564152A" w14:textId="77777777" w:rsidR="00C53E9C" w:rsidRDefault="00E20AAA" w:rsidP="00822AB9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B83BB43" wp14:editId="68F85B32">
            <wp:extent cx="5422265" cy="12007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7611" cy="120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B337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全场景人群策略</w:t>
      </w:r>
      <w:r>
        <w:rPr>
          <w:rFonts w:ascii="微软雅黑" w:eastAsia="微软雅黑" w:hAnsi="微软雅黑"/>
          <w:b/>
          <w:szCs w:val="21"/>
        </w:rPr>
        <w:t xml:space="preserve"> - </w:t>
      </w:r>
      <w:r>
        <w:rPr>
          <w:rFonts w:ascii="微软雅黑" w:eastAsia="微软雅黑" w:hAnsi="微软雅黑" w:hint="eastAsia"/>
          <w:b/>
          <w:szCs w:val="21"/>
        </w:rPr>
        <w:t>人群集市</w:t>
      </w:r>
    </w:p>
    <w:p w14:paraId="4FC41F58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基于搜索、信息流、地图、视频等全方位资源，覆盖线上/线下、PC/移动丰富全场景数据，提供</w:t>
      </w:r>
      <w:r>
        <w:rPr>
          <w:rFonts w:ascii="微软雅黑" w:eastAsia="微软雅黑" w:hAnsi="微软雅黑"/>
          <w:szCs w:val="21"/>
        </w:rPr>
        <w:t>海量标签，</w:t>
      </w:r>
      <w:r>
        <w:rPr>
          <w:rFonts w:ascii="微软雅黑" w:eastAsia="微软雅黑" w:hAnsi="微软雅黑" w:hint="eastAsia"/>
          <w:szCs w:val="21"/>
        </w:rPr>
        <w:t>通过</w:t>
      </w:r>
      <w:r>
        <w:rPr>
          <w:rFonts w:ascii="微软雅黑" w:eastAsia="微软雅黑" w:hAnsi="微软雅黑"/>
          <w:szCs w:val="21"/>
        </w:rPr>
        <w:t>便捷操作</w:t>
      </w:r>
      <w:r>
        <w:rPr>
          <w:rFonts w:ascii="微软雅黑" w:eastAsia="微软雅黑" w:hAnsi="微软雅黑" w:hint="eastAsia"/>
          <w:szCs w:val="21"/>
        </w:rPr>
        <w:t>用户可创建多维度推荐人群和自定义人群，更有效地锁定目标受众，一站式快捷分发。</w:t>
      </w:r>
    </w:p>
    <w:p w14:paraId="31F34F0F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核心功能：人群集市整体在2</w:t>
      </w:r>
      <w:r>
        <w:rPr>
          <w:rFonts w:ascii="微软雅黑" w:eastAsia="微软雅黑" w:hAnsi="微软雅黑"/>
          <w:szCs w:val="21"/>
        </w:rPr>
        <w:t>020</w:t>
      </w:r>
      <w:r>
        <w:rPr>
          <w:rFonts w:ascii="微软雅黑" w:eastAsia="微软雅黑" w:hAnsi="微软雅黑" w:hint="eastAsia"/>
          <w:szCs w:val="21"/>
        </w:rPr>
        <w:t>年全面升级，标签分类更清晰，操作更便捷，节约人群圈选操作时长，提升用户操作效率。</w:t>
      </w:r>
    </w:p>
    <w:p w14:paraId="5E2CAEFD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人群选择：通过2</w:t>
      </w:r>
      <w:r>
        <w:rPr>
          <w:rFonts w:ascii="微软雅黑" w:eastAsia="微软雅黑" w:hAnsi="微软雅黑"/>
          <w:szCs w:val="21"/>
        </w:rPr>
        <w:t>0+</w:t>
      </w:r>
      <w:r>
        <w:rPr>
          <w:rFonts w:ascii="微软雅黑" w:eastAsia="微软雅黑" w:hAnsi="微软雅黑" w:hint="eastAsia"/>
          <w:szCs w:val="21"/>
        </w:rPr>
        <w:t>维度自定义人群，上千+智能挖掘、沉淀的推荐人群，可以任意选择投放适配人群。</w:t>
      </w:r>
    </w:p>
    <w:p w14:paraId="7342171E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人群计算：可根据选定多类人群进行交叉、合并、排除等计算，节省组合计算时间。</w:t>
      </w:r>
    </w:p>
    <w:p w14:paraId="497DD9BA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人群分发：一站式计算到分发流程缩减，可支持多项媒介资源，实时查看监控分发进度。</w:t>
      </w:r>
    </w:p>
    <w:p w14:paraId="7C1689E9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人群画像：可实时查看人群画像，节省半天计算时间。</w:t>
      </w:r>
    </w:p>
    <w:p w14:paraId="07B5AB94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效果度量：可提供对策略目标进行效果衡量，分析被触达人群的特征及衡量各项指标，验证其准确性，指导后续投放。</w:t>
      </w:r>
    </w:p>
    <w:p w14:paraId="5F841106" w14:textId="77777777" w:rsidR="00C53E9C" w:rsidRDefault="00E20AAA" w:rsidP="00822AB9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2BBD261" wp14:editId="5134D9DF">
            <wp:extent cx="5396865" cy="1502424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2760" cy="15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FF39" w14:textId="77777777" w:rsidR="00C53E9C" w:rsidRDefault="00E20AAA" w:rsidP="00822AB9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10E9743" wp14:editId="15DF8579">
            <wp:extent cx="5371465" cy="1516221"/>
            <wp:effectExtent l="0" t="0" r="63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6218" cy="15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2B10" w14:textId="77777777" w:rsidR="00C53E9C" w:rsidRDefault="00E20AAA" w:rsidP="00822AB9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5B9F81B" wp14:editId="799CED65">
            <wp:extent cx="5365211" cy="2480225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rcRect b="23668"/>
                    <a:stretch>
                      <a:fillRect/>
                    </a:stretch>
                  </pic:blipFill>
                  <pic:spPr>
                    <a:xfrm>
                      <a:off x="0" y="0"/>
                      <a:ext cx="5390950" cy="24921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DA3B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 w:cs="Calibri"/>
          <w:b/>
          <w:color w:val="000000" w:themeColor="text1"/>
          <w:szCs w:val="21"/>
          <w:lang w:bidi="en-US"/>
        </w:rPr>
      </w:pPr>
      <w:r>
        <w:rPr>
          <w:rFonts w:ascii="微软雅黑" w:eastAsia="微软雅黑" w:hAnsi="微软雅黑" w:cs="Calibri" w:hint="eastAsia"/>
          <w:b/>
          <w:color w:val="000000" w:themeColor="text1"/>
          <w:szCs w:val="21"/>
          <w:lang w:bidi="en-US"/>
        </w:rPr>
        <w:t xml:space="preserve">全链路资产沉淀 </w:t>
      </w:r>
      <w:r>
        <w:rPr>
          <w:rFonts w:ascii="微软雅黑" w:eastAsia="微软雅黑" w:hAnsi="微软雅黑" w:cs="Calibri"/>
          <w:b/>
          <w:color w:val="000000" w:themeColor="text1"/>
          <w:szCs w:val="21"/>
          <w:lang w:bidi="en-US"/>
        </w:rPr>
        <w:t xml:space="preserve">- </w:t>
      </w:r>
      <w:r>
        <w:rPr>
          <w:rFonts w:ascii="微软雅黑" w:eastAsia="微软雅黑" w:hAnsi="微软雅黑" w:cs="Calibri" w:hint="eastAsia"/>
          <w:b/>
          <w:color w:val="000000" w:themeColor="text1"/>
          <w:szCs w:val="21"/>
          <w:lang w:bidi="en-US"/>
        </w:rPr>
        <w:t>客户数据资产</w:t>
      </w:r>
    </w:p>
    <w:p w14:paraId="7AADE5F7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以消费者行为学的AI</w:t>
      </w: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为理论基础，沉淀多维消费者行为数据，进行数据融合与数据洞察，实现消费者数字资产激活增值</w:t>
      </w:r>
      <w:r>
        <w:rPr>
          <w:rFonts w:ascii="微软雅黑" w:eastAsia="微软雅黑" w:hAnsi="微软雅黑" w:hint="eastAsia"/>
          <w:szCs w:val="21"/>
        </w:rPr>
        <w:t>。</w:t>
      </w:r>
    </w:p>
    <w:p w14:paraId="7C5C4171" w14:textId="44F36251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沉淀品牌全域数据资产，R.E.A.P.营销绩效评估，全</w:t>
      </w:r>
      <w:proofErr w:type="gramStart"/>
      <w:r>
        <w:rPr>
          <w:rFonts w:ascii="微软雅黑" w:eastAsia="微软雅黑" w:hAnsi="微软雅黑"/>
          <w:szCs w:val="21"/>
        </w:rPr>
        <w:t>链用户</w:t>
      </w:r>
      <w:proofErr w:type="gramEnd"/>
      <w:r>
        <w:rPr>
          <w:rFonts w:ascii="微软雅黑" w:eastAsia="微软雅黑" w:hAnsi="微软雅黑"/>
          <w:szCs w:val="21"/>
        </w:rPr>
        <w:t>追踪分析再营销</w:t>
      </w:r>
      <w:r w:rsidR="00822AB9">
        <w:rPr>
          <w:rFonts w:ascii="微软雅黑" w:eastAsia="微软雅黑" w:hAnsi="微软雅黑" w:hint="eastAsia"/>
          <w:szCs w:val="21"/>
        </w:rPr>
        <w:t>。</w:t>
      </w:r>
    </w:p>
    <w:p w14:paraId="7A47910C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核心功能：</w:t>
      </w:r>
    </w:p>
    <w:p w14:paraId="26946316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资产</w:t>
      </w:r>
      <w:r>
        <w:rPr>
          <w:rFonts w:ascii="微软雅黑" w:eastAsia="微软雅黑" w:hAnsi="微软雅黑" w:hint="eastAsia"/>
          <w:szCs w:val="21"/>
        </w:rPr>
        <w:t>概览</w:t>
      </w:r>
      <w:r>
        <w:rPr>
          <w:rFonts w:ascii="微软雅黑" w:eastAsia="微软雅黑" w:hAnsi="微软雅黑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>将在百度域内与品牌或产品产生关联的公域、私域、商域数据视为资产，根据消费者心智路径，呈现认知（Awareness），意图（Intention），行动（Action）各阶段消费者数量</w:t>
      </w:r>
      <w:r>
        <w:rPr>
          <w:rFonts w:ascii="微软雅黑" w:eastAsia="微软雅黑" w:hAnsi="微软雅黑"/>
          <w:szCs w:val="21"/>
        </w:rPr>
        <w:t>；</w:t>
      </w:r>
    </w:p>
    <w:p w14:paraId="25AA01DC" w14:textId="77777777" w:rsidR="00C53E9C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营销绩效评估</w:t>
      </w:r>
      <w:r>
        <w:rPr>
          <w:rFonts w:ascii="微软雅黑" w:eastAsia="微软雅黑" w:hAnsi="微软雅黑"/>
          <w:szCs w:val="21"/>
        </w:rPr>
        <w:t>：消费者流转路径分析，消费者媒介触点分析，资产趋势变化分析；</w:t>
      </w:r>
    </w:p>
    <w:p w14:paraId="1894887A" w14:textId="25C908BE" w:rsidR="00C53E9C" w:rsidRPr="00822AB9" w:rsidRDefault="00E20AAA" w:rsidP="00822AB9">
      <w:pPr>
        <w:pStyle w:val="10"/>
        <w:numPr>
          <w:ilvl w:val="0"/>
          <w:numId w:val="3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全</w:t>
      </w:r>
      <w:proofErr w:type="gramStart"/>
      <w:r>
        <w:rPr>
          <w:rFonts w:ascii="微软雅黑" w:eastAsia="微软雅黑" w:hAnsi="微软雅黑" w:hint="eastAsia"/>
          <w:szCs w:val="21"/>
        </w:rPr>
        <w:t>链用户</w:t>
      </w:r>
      <w:proofErr w:type="gramEnd"/>
      <w:r>
        <w:rPr>
          <w:rFonts w:ascii="微软雅黑" w:eastAsia="微软雅黑" w:hAnsi="微软雅黑" w:hint="eastAsia"/>
          <w:szCs w:val="21"/>
        </w:rPr>
        <w:t>追踪：分析百度的营销全链路用户流转情况（展现&gt;点击&gt;访问&gt;转化），进行精细化的人群分层、圈选、进行意图迁移分析和媒体触点分析</w:t>
      </w:r>
      <w:r>
        <w:rPr>
          <w:rFonts w:ascii="微软雅黑" w:eastAsia="微软雅黑" w:hAnsi="微软雅黑"/>
          <w:szCs w:val="21"/>
        </w:rPr>
        <w:t>。</w:t>
      </w:r>
    </w:p>
    <w:p w14:paraId="15446AC4" w14:textId="77777777" w:rsidR="00C53E9C" w:rsidRDefault="00E20AAA" w:rsidP="00822AB9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5E3F527" wp14:editId="4540DF4A">
            <wp:extent cx="5720715" cy="25825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FBE2" w14:textId="2C612D9A" w:rsidR="00C53E9C" w:rsidRDefault="00E20AAA" w:rsidP="00822AB9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4C2F91D" wp14:editId="26DBC892">
            <wp:extent cx="5720715" cy="314642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B198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应用范围</w:t>
      </w:r>
    </w:p>
    <w:p w14:paraId="6944D94D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</w:rPr>
        <w:t>有</w:t>
      </w:r>
      <w:r>
        <w:rPr>
          <w:rFonts w:ascii="微软雅黑" w:eastAsia="微软雅黑" w:hAnsi="微软雅黑" w:hint="eastAsia"/>
          <w:szCs w:val="21"/>
        </w:rPr>
        <w:t>效果和品牌营销诉求的广告主及代理商、</w:t>
      </w:r>
      <w:r w:rsidR="00E41C55">
        <w:rPr>
          <w:rFonts w:ascii="微软雅黑" w:eastAsia="微软雅黑" w:hAnsi="微软雅黑" w:hint="eastAsia"/>
          <w:szCs w:val="21"/>
        </w:rPr>
        <w:t>营销策略制定人员</w:t>
      </w:r>
      <w:r>
        <w:rPr>
          <w:rFonts w:ascii="微软雅黑" w:eastAsia="微软雅黑" w:hAnsi="微软雅黑"/>
          <w:szCs w:val="21"/>
        </w:rPr>
        <w:t>。</w:t>
      </w:r>
    </w:p>
    <w:p w14:paraId="11514AF3" w14:textId="77777777" w:rsidR="00C53E9C" w:rsidRDefault="00E20AAA" w:rsidP="00822AB9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行业适用性：适合全行业</w:t>
      </w:r>
      <w:r>
        <w:rPr>
          <w:rFonts w:ascii="微软雅黑" w:eastAsia="微软雅黑" w:hAnsi="微软雅黑"/>
          <w:szCs w:val="21"/>
        </w:rPr>
        <w:t>。</w:t>
      </w:r>
    </w:p>
    <w:p w14:paraId="76B4F5EF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应用实例</w:t>
      </w:r>
    </w:p>
    <w:p w14:paraId="52B9A8CE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广告主：</w:t>
      </w:r>
      <w:proofErr w:type="gramStart"/>
      <w:r>
        <w:rPr>
          <w:rFonts w:ascii="微软雅黑" w:eastAsia="微软雅黑" w:hAnsi="微软雅黑" w:hint="eastAsia"/>
          <w:color w:val="000000" w:themeColor="text1"/>
        </w:rPr>
        <w:t>美素佳儿</w:t>
      </w:r>
      <w:proofErr w:type="gramEnd"/>
    </w:p>
    <w:p w14:paraId="378DD7AE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产品：美素佳儿奶粉</w:t>
      </w:r>
    </w:p>
    <w:p w14:paraId="5797F6D1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b/>
          <w:color w:val="000000" w:themeColor="text1"/>
        </w:rPr>
        <w:t>营销背景</w:t>
      </w:r>
      <w:r>
        <w:rPr>
          <w:rFonts w:ascii="微软雅黑" w:eastAsia="微软雅黑" w:hAnsi="微软雅黑" w:hint="eastAsia"/>
          <w:b/>
          <w:color w:val="000000" w:themeColor="text1"/>
        </w:rPr>
        <w:t>：</w:t>
      </w:r>
      <w:r w:rsidR="00EF7F06" w:rsidRPr="00822AB9">
        <w:rPr>
          <w:rFonts w:ascii="微软雅黑" w:eastAsia="微软雅黑" w:hAnsi="微软雅黑" w:hint="eastAsia"/>
          <w:bCs/>
          <w:color w:val="000000" w:themeColor="text1"/>
        </w:rPr>
        <w:t>之前</w:t>
      </w:r>
      <w:r w:rsidR="00EF7F06">
        <w:rPr>
          <w:rFonts w:ascii="微软雅黑" w:eastAsia="微软雅黑" w:hAnsi="微软雅黑" w:hint="eastAsia"/>
          <w:color w:val="000000" w:themeColor="text1"/>
        </w:rPr>
        <w:t>在百度很难</w:t>
      </w:r>
      <w:r w:rsidR="00E33D4D">
        <w:rPr>
          <w:rFonts w:ascii="微软雅黑" w:eastAsia="微软雅黑" w:hAnsi="微软雅黑" w:hint="eastAsia"/>
          <w:color w:val="000000" w:themeColor="text1"/>
        </w:rPr>
        <w:t>找</w:t>
      </w:r>
      <w:r w:rsidR="004C43C7">
        <w:rPr>
          <w:rFonts w:ascii="微软雅黑" w:eastAsia="微软雅黑" w:hAnsi="微软雅黑" w:hint="eastAsia"/>
          <w:color w:val="000000" w:themeColor="text1"/>
        </w:rPr>
        <w:t>到品牌</w:t>
      </w:r>
      <w:r w:rsidR="00EF7F06">
        <w:rPr>
          <w:rFonts w:ascii="微软雅黑" w:eastAsia="微软雅黑" w:hAnsi="微软雅黑" w:hint="eastAsia"/>
          <w:color w:val="000000" w:themeColor="text1"/>
        </w:rPr>
        <w:t>背后</w:t>
      </w:r>
      <w:r w:rsidR="004C43C7">
        <w:rPr>
          <w:rFonts w:ascii="微软雅黑" w:eastAsia="微软雅黑" w:hAnsi="微软雅黑" w:hint="eastAsia"/>
          <w:color w:val="000000" w:themeColor="text1"/>
        </w:rPr>
        <w:t>的全部消费者，</w:t>
      </w:r>
      <w:r w:rsidR="00E41C55">
        <w:rPr>
          <w:rFonts w:ascii="微软雅黑" w:eastAsia="微软雅黑" w:hAnsi="微软雅黑" w:hint="eastAsia"/>
          <w:color w:val="000000" w:themeColor="text1"/>
        </w:rPr>
        <w:t>常规</w:t>
      </w:r>
      <w:r w:rsidR="00EF7F06">
        <w:rPr>
          <w:rFonts w:ascii="微软雅黑" w:eastAsia="微软雅黑" w:hAnsi="微软雅黑" w:hint="eastAsia"/>
          <w:color w:val="000000" w:themeColor="text1"/>
        </w:rPr>
        <w:t>的普通人生阶段等定向已不能满足广告主对精准人群的需求，人群定向过于单一，</w:t>
      </w:r>
      <w:r w:rsidR="00E33D4D">
        <w:rPr>
          <w:rFonts w:ascii="微软雅黑" w:eastAsia="微软雅黑" w:hAnsi="微软雅黑" w:hint="eastAsia"/>
          <w:color w:val="000000" w:themeColor="text1"/>
        </w:rPr>
        <w:t>本次</w:t>
      </w:r>
      <w:r>
        <w:rPr>
          <w:rFonts w:ascii="微软雅黑" w:eastAsia="微软雅黑" w:hAnsi="微软雅黑" w:hint="eastAsia"/>
          <w:color w:val="000000" w:themeColor="text1"/>
        </w:rPr>
        <w:t>借观星盘大数据能力，</w:t>
      </w:r>
      <w:r w:rsidR="00A20EA0">
        <w:rPr>
          <w:rFonts w:ascii="微软雅黑" w:eastAsia="微软雅黑" w:hAnsi="微软雅黑" w:hint="eastAsia"/>
          <w:color w:val="000000" w:themeColor="text1"/>
        </w:rPr>
        <w:t>利用</w:t>
      </w:r>
      <w:r w:rsidR="004C43C7">
        <w:rPr>
          <w:rFonts w:ascii="微软雅黑" w:eastAsia="微软雅黑" w:hAnsi="微软雅黑" w:hint="eastAsia"/>
          <w:color w:val="000000" w:themeColor="text1"/>
        </w:rPr>
        <w:t>百度全域数据，找到</w:t>
      </w:r>
      <w:r w:rsidR="00E33D4D">
        <w:rPr>
          <w:rFonts w:ascii="微软雅黑" w:eastAsia="微软雅黑" w:hAnsi="微软雅黑" w:hint="eastAsia"/>
          <w:color w:val="000000" w:themeColor="text1"/>
        </w:rPr>
        <w:lastRenderedPageBreak/>
        <w:t>全部与</w:t>
      </w:r>
      <w:r w:rsidR="004C43C7">
        <w:rPr>
          <w:rFonts w:ascii="微软雅黑" w:eastAsia="微软雅黑" w:hAnsi="微软雅黑" w:hint="eastAsia"/>
          <w:color w:val="000000" w:themeColor="text1"/>
        </w:rPr>
        <w:t>品牌</w:t>
      </w:r>
      <w:r w:rsidR="00E33D4D">
        <w:rPr>
          <w:rFonts w:ascii="微软雅黑" w:eastAsia="微软雅黑" w:hAnsi="微软雅黑" w:hint="eastAsia"/>
          <w:color w:val="000000" w:themeColor="text1"/>
        </w:rPr>
        <w:t>相关的</w:t>
      </w:r>
      <w:r w:rsidR="004C43C7">
        <w:rPr>
          <w:rFonts w:ascii="微软雅黑" w:eastAsia="微软雅黑" w:hAnsi="微软雅黑" w:hint="eastAsia"/>
          <w:color w:val="000000" w:themeColor="text1"/>
        </w:rPr>
        <w:t>人群及行业人群，</w:t>
      </w:r>
      <w:r w:rsidR="00E33D4D">
        <w:rPr>
          <w:rFonts w:ascii="微软雅黑" w:eastAsia="微软雅黑" w:hAnsi="微软雅黑" w:hint="eastAsia"/>
          <w:color w:val="000000" w:themeColor="text1"/>
        </w:rPr>
        <w:t>并通过对</w:t>
      </w:r>
      <w:r w:rsidR="004C43C7">
        <w:rPr>
          <w:rFonts w:ascii="微软雅黑" w:eastAsia="微软雅黑" w:hAnsi="微软雅黑" w:hint="eastAsia"/>
          <w:color w:val="000000" w:themeColor="text1"/>
        </w:rPr>
        <w:t>消费</w:t>
      </w:r>
      <w:r w:rsidR="00750857">
        <w:rPr>
          <w:rFonts w:ascii="微软雅黑" w:eastAsia="微软雅黑" w:hAnsi="微软雅黑" w:hint="eastAsia"/>
          <w:color w:val="000000" w:themeColor="text1"/>
        </w:rPr>
        <w:t>者</w:t>
      </w:r>
      <w:r w:rsidR="004C43C7">
        <w:rPr>
          <w:rFonts w:ascii="微软雅黑" w:eastAsia="微软雅黑" w:hAnsi="微软雅黑" w:hint="eastAsia"/>
          <w:color w:val="000000" w:themeColor="text1"/>
        </w:rPr>
        <w:t>意图</w:t>
      </w:r>
      <w:r w:rsidR="00E33D4D">
        <w:rPr>
          <w:rFonts w:ascii="微软雅黑" w:eastAsia="微软雅黑" w:hAnsi="微软雅黑" w:hint="eastAsia"/>
          <w:color w:val="000000" w:themeColor="text1"/>
        </w:rPr>
        <w:t>分析</w:t>
      </w:r>
      <w:r w:rsidR="00EF7F06">
        <w:rPr>
          <w:rFonts w:ascii="微软雅黑" w:eastAsia="微软雅黑" w:hAnsi="微软雅黑" w:hint="eastAsia"/>
          <w:color w:val="000000" w:themeColor="text1"/>
        </w:rPr>
        <w:t>影响目标受众</w:t>
      </w:r>
      <w:r w:rsidR="00A20EA0">
        <w:rPr>
          <w:rFonts w:ascii="微软雅黑" w:eastAsia="微软雅黑" w:hAnsi="微软雅黑" w:hint="eastAsia"/>
          <w:color w:val="000000" w:themeColor="text1"/>
        </w:rPr>
        <w:t>。</w:t>
      </w:r>
    </w:p>
    <w:p w14:paraId="7BE48A23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</w:rPr>
      </w:pPr>
      <w:r>
        <w:rPr>
          <w:rFonts w:ascii="微软雅黑" w:eastAsia="微软雅黑" w:hAnsi="微软雅黑" w:hint="eastAsia"/>
          <w:b/>
          <w:color w:val="000000" w:themeColor="text1"/>
        </w:rPr>
        <w:t>营销目标：</w:t>
      </w:r>
      <w:r>
        <w:rPr>
          <w:rFonts w:ascii="微软雅黑" w:eastAsia="微软雅黑" w:hAnsi="微软雅黑" w:hint="eastAsia"/>
          <w:color w:val="000000" w:themeColor="text1"/>
        </w:rPr>
        <w:t>结合百度大数据公域私域商域的品牌数据资产，分析目标受众在奶粉行业全链路的人群意图，触达目标受众，提升不同类型消费者对品牌的认知。</w:t>
      </w:r>
    </w:p>
    <w:p w14:paraId="0994553B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</w:rPr>
      </w:pPr>
      <w:r>
        <w:rPr>
          <w:rFonts w:ascii="微软雅黑" w:eastAsia="微软雅黑" w:hAnsi="微软雅黑" w:hint="eastAsia"/>
          <w:b/>
          <w:color w:val="000000" w:themeColor="text1"/>
        </w:rPr>
        <w:t>营销策略：</w:t>
      </w:r>
    </w:p>
    <w:p w14:paraId="1A967D4C" w14:textId="77777777" w:rsidR="00C53E9C" w:rsidRDefault="00E20AAA" w:rsidP="00822AB9">
      <w:pPr>
        <w:pStyle w:val="10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数据洞察：</w:t>
      </w:r>
    </w:p>
    <w:p w14:paraId="1A517D51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第一步：应用观星盘品牌数据资产，洞察品牌公域、私域、商域聚合的资产现状，评估各阶段资产价值。</w:t>
      </w:r>
    </w:p>
    <w:p w14:paraId="43414273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第二步：通过观星盘品牌数据资产绩效评估历史资产，洞察新客多，且对比竞品用户黏性高，可挖掘流失人群再运营，再一次唤醒用户。</w:t>
      </w:r>
    </w:p>
    <w:p w14:paraId="399F0E32" w14:textId="77777777" w:rsidR="00C53E9C" w:rsidRDefault="00E20AAA" w:rsidP="00822A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第三步：应用全链用户追踪，分析流失人群关注点，挖掘竞品，进行创意化打击。</w:t>
      </w:r>
    </w:p>
    <w:p w14:paraId="25F05488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w:drawing>
          <wp:inline distT="0" distB="0" distL="0" distR="0" wp14:anchorId="58AA4641" wp14:editId="27812939">
            <wp:extent cx="4569741" cy="2584397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7036" cy="25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9A02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w:drawing>
          <wp:inline distT="0" distB="0" distL="0" distR="0" wp14:anchorId="5C694A4D" wp14:editId="7CE8DF35">
            <wp:extent cx="4629097" cy="2641600"/>
            <wp:effectExtent l="0" t="0" r="63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9682" cy="265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05D5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w:lastRenderedPageBreak/>
        <w:drawing>
          <wp:inline distT="0" distB="0" distL="0" distR="0" wp14:anchorId="11D63070" wp14:editId="4D4D38F7">
            <wp:extent cx="4552950" cy="261027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1257" cy="26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A4AE" w14:textId="77777777" w:rsidR="00C53E9C" w:rsidRDefault="00E20AAA" w:rsidP="00822AB9">
      <w:pPr>
        <w:pStyle w:val="10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人群选择：通过在观星盘洞察客户数据资产，在线上选择不同策略人群，在观星盘自定义人群中选取关键词、LBS定向人群，品牌资产中选取本品资产人群、流失关注竞品资产人群、及行业资产人群。</w:t>
      </w:r>
    </w:p>
    <w:p w14:paraId="60E27B0E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w:drawing>
          <wp:inline distT="0" distB="0" distL="0" distR="0" wp14:anchorId="46BBC537" wp14:editId="2C89B03D">
            <wp:extent cx="4612640" cy="219011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589" cy="21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ABBD" w14:textId="77777777" w:rsidR="00C53E9C" w:rsidRDefault="00E20AAA" w:rsidP="00822AB9">
      <w:pPr>
        <w:pStyle w:val="10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投放效果：</w:t>
      </w:r>
    </w:p>
    <w:p w14:paraId="34A461D4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szCs w:val="21"/>
        </w:rPr>
        <w:t>本次活动实现百度品牌+效果曝光，应用品牌数据资产人群效果显著，并有效触达历史流失人群，整体CTR显著提升，运用观星盘进行绩效评估，带来的新增用户中，高价值增量用户占比高达</w:t>
      </w:r>
      <w:r w:rsidR="007C4CD4">
        <w:rPr>
          <w:rFonts w:ascii="微软雅黑" w:eastAsia="微软雅黑" w:hAnsi="微软雅黑"/>
          <w:szCs w:val="21"/>
        </w:rPr>
        <w:t>7.8</w:t>
      </w:r>
      <w:r>
        <w:rPr>
          <w:rFonts w:ascii="微软雅黑" w:eastAsia="微软雅黑" w:hAnsi="微软雅黑"/>
          <w:szCs w:val="21"/>
        </w:rPr>
        <w:t>%+</w:t>
      </w:r>
      <w:r>
        <w:rPr>
          <w:rFonts w:ascii="微软雅黑" w:eastAsia="微软雅黑" w:hAnsi="微软雅黑" w:hint="eastAsia"/>
          <w:szCs w:val="21"/>
        </w:rPr>
        <w:t>，高于行业均值，全面超额完成预定K</w:t>
      </w:r>
      <w:r>
        <w:rPr>
          <w:rFonts w:ascii="微软雅黑" w:eastAsia="微软雅黑" w:hAnsi="微软雅黑"/>
          <w:szCs w:val="21"/>
        </w:rPr>
        <w:t>PI</w:t>
      </w:r>
      <w:r>
        <w:rPr>
          <w:rFonts w:ascii="微软雅黑" w:eastAsia="微软雅黑" w:hAnsi="微软雅黑" w:hint="eastAsia"/>
          <w:szCs w:val="21"/>
        </w:rPr>
        <w:t>。同时该案例在百度百享案例中总分排名第一，获一等奖。</w:t>
      </w:r>
    </w:p>
    <w:p w14:paraId="2149D8B6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w:lastRenderedPageBreak/>
        <w:drawing>
          <wp:inline distT="0" distB="0" distL="0" distR="0" wp14:anchorId="393AE529" wp14:editId="173DF499">
            <wp:extent cx="4648612" cy="24257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4160" cy="24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77AA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w:drawing>
          <wp:inline distT="0" distB="0" distL="0" distR="0" wp14:anchorId="045A9BC8" wp14:editId="1B30C2F0">
            <wp:extent cx="4736076" cy="2330450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8876" cy="23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7B6A" w14:textId="77777777" w:rsidR="00C53E9C" w:rsidRDefault="00E20AAA" w:rsidP="00822AB9">
      <w:pPr>
        <w:pStyle w:val="10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w:drawing>
          <wp:inline distT="0" distB="0" distL="0" distR="0" wp14:anchorId="410F5728" wp14:editId="2B377308">
            <wp:extent cx="4814570" cy="2480767"/>
            <wp:effectExtent l="0" t="0" r="508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4437" cy="249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765D" w14:textId="77777777" w:rsidR="007C4CD4" w:rsidRDefault="00E20AAA" w:rsidP="00822AB9">
      <w:pPr>
        <w:pStyle w:val="a9"/>
        <w:shd w:val="clear" w:color="auto" w:fill="FFFFFF"/>
        <w:rPr>
          <w:rFonts w:ascii="微软雅黑" w:eastAsia="微软雅黑" w:hAnsi="微软雅黑"/>
          <w:b/>
          <w:color w:val="000000" w:themeColor="text1"/>
          <w:kern w:val="2"/>
          <w:sz w:val="21"/>
        </w:rPr>
      </w:pPr>
      <w:r w:rsidRPr="0044358A">
        <w:rPr>
          <w:rFonts w:ascii="微软雅黑" w:eastAsia="微软雅黑" w:hAnsi="微软雅黑" w:hint="eastAsia"/>
          <w:b/>
          <w:bCs/>
          <w:sz w:val="21"/>
          <w:szCs w:val="21"/>
        </w:rPr>
        <w:t xml:space="preserve">总结： </w:t>
      </w:r>
      <w:r>
        <w:rPr>
          <w:rFonts w:ascii="微软雅黑" w:eastAsia="微软雅黑" w:hAnsi="微软雅黑" w:hint="eastAsia"/>
          <w:b/>
          <w:color w:val="000000" w:themeColor="text1"/>
          <w:kern w:val="2"/>
          <w:sz w:val="21"/>
        </w:rPr>
        <w:t>本案例为应用观星盘2</w:t>
      </w:r>
      <w:r>
        <w:rPr>
          <w:rFonts w:ascii="微软雅黑" w:eastAsia="微软雅黑" w:hAnsi="微软雅黑"/>
          <w:b/>
          <w:color w:val="000000" w:themeColor="text1"/>
          <w:kern w:val="2"/>
          <w:sz w:val="21"/>
        </w:rPr>
        <w:t>020</w:t>
      </w:r>
      <w:r>
        <w:rPr>
          <w:rFonts w:ascii="微软雅黑" w:eastAsia="微软雅黑" w:hAnsi="微软雅黑" w:hint="eastAsia"/>
          <w:b/>
          <w:color w:val="000000" w:themeColor="text1"/>
          <w:kern w:val="2"/>
          <w:sz w:val="21"/>
        </w:rPr>
        <w:t>年重点全域品牌数据资产的创新案例。</w:t>
      </w:r>
    </w:p>
    <w:p w14:paraId="0FC56C9B" w14:textId="6E3D722B" w:rsidR="00C53E9C" w:rsidRPr="00822AB9" w:rsidRDefault="00E20AAA" w:rsidP="00822AB9">
      <w:pPr>
        <w:pStyle w:val="a9"/>
        <w:shd w:val="clear" w:color="auto" w:fill="FFFFFF"/>
        <w:rPr>
          <w:rFonts w:ascii="微软雅黑" w:eastAsia="微软雅黑" w:hAnsi="微软雅黑"/>
          <w:color w:val="000000" w:themeColor="text1"/>
          <w:kern w:val="2"/>
          <w:sz w:val="21"/>
        </w:rPr>
      </w:pPr>
      <w:r>
        <w:rPr>
          <w:rFonts w:ascii="微软雅黑" w:eastAsia="微软雅黑" w:hAnsi="微软雅黑"/>
          <w:color w:val="000000" w:themeColor="text1"/>
          <w:kern w:val="2"/>
          <w:sz w:val="21"/>
        </w:rPr>
        <w:t>为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美素佳儿</w:t>
      </w:r>
      <w:r>
        <w:rPr>
          <w:rFonts w:ascii="微软雅黑" w:eastAsia="微软雅黑" w:hAnsi="微软雅黑"/>
          <w:color w:val="000000" w:themeColor="text1"/>
          <w:kern w:val="2"/>
          <w:sz w:val="21"/>
        </w:rPr>
        <w:t>提供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资产人群</w:t>
      </w:r>
      <w:r>
        <w:rPr>
          <w:rFonts w:ascii="微软雅黑" w:eastAsia="微软雅黑" w:hAnsi="微软雅黑"/>
          <w:color w:val="000000" w:themeColor="text1"/>
          <w:kern w:val="2"/>
          <w:sz w:val="21"/>
        </w:rPr>
        <w:t>服务的过程中，我们把平台工具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及百度大数据能力</w:t>
      </w:r>
      <w:r>
        <w:rPr>
          <w:rFonts w:ascii="微软雅黑" w:eastAsia="微软雅黑" w:hAnsi="微软雅黑"/>
          <w:color w:val="000000" w:themeColor="text1"/>
          <w:kern w:val="2"/>
          <w:sz w:val="21"/>
        </w:rPr>
        <w:t>价值发挥到最大，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将客户的品牌公域、商域、私域的资产人群、行业资产人群应用到</w:t>
      </w:r>
      <w:r>
        <w:rPr>
          <w:rFonts w:ascii="微软雅黑" w:eastAsia="微软雅黑" w:hAnsi="微软雅黑"/>
          <w:color w:val="000000" w:themeColor="text1"/>
          <w:kern w:val="2"/>
          <w:sz w:val="21"/>
        </w:rPr>
        <w:t>策略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分析及投放中，</w:t>
      </w:r>
      <w:r w:rsidR="00BF686E">
        <w:rPr>
          <w:rFonts w:ascii="微软雅黑" w:eastAsia="微软雅黑" w:hAnsi="微软雅黑" w:hint="eastAsia"/>
          <w:color w:val="000000" w:themeColor="text1"/>
          <w:kern w:val="2"/>
          <w:sz w:val="21"/>
        </w:rPr>
        <w:t>精准人群助力开屏CTR提升1</w:t>
      </w:r>
      <w:r w:rsidR="00BF686E">
        <w:rPr>
          <w:rFonts w:ascii="微软雅黑" w:eastAsia="微软雅黑" w:hAnsi="微软雅黑"/>
          <w:color w:val="000000" w:themeColor="text1"/>
          <w:kern w:val="2"/>
          <w:sz w:val="21"/>
        </w:rPr>
        <w:t>7%</w:t>
      </w:r>
      <w:r w:rsidR="00BF686E">
        <w:rPr>
          <w:rFonts w:ascii="微软雅黑" w:eastAsia="微软雅黑" w:hAnsi="微软雅黑" w:hint="eastAsia"/>
          <w:color w:val="000000" w:themeColor="text1"/>
          <w:kern w:val="2"/>
          <w:sz w:val="21"/>
        </w:rPr>
        <w:t>，信息流推广CTR提升4</w:t>
      </w:r>
      <w:r w:rsidR="00BF686E">
        <w:rPr>
          <w:rFonts w:ascii="微软雅黑" w:eastAsia="微软雅黑" w:hAnsi="微软雅黑"/>
          <w:color w:val="000000" w:themeColor="text1"/>
          <w:kern w:val="2"/>
          <w:sz w:val="21"/>
        </w:rPr>
        <w:t>1%</w:t>
      </w:r>
      <w:r w:rsidR="00BF686E">
        <w:rPr>
          <w:rFonts w:ascii="微软雅黑" w:eastAsia="微软雅黑" w:hAnsi="微软雅黑" w:hint="eastAsia"/>
          <w:color w:val="000000" w:themeColor="text1"/>
          <w:kern w:val="2"/>
          <w:sz w:val="21"/>
        </w:rPr>
        <w:t>，为广告主新增8</w:t>
      </w:r>
      <w:r w:rsidR="00BF686E">
        <w:rPr>
          <w:rFonts w:ascii="微软雅黑" w:eastAsia="微软雅黑" w:hAnsi="微软雅黑"/>
          <w:color w:val="000000" w:themeColor="text1"/>
          <w:kern w:val="2"/>
          <w:sz w:val="21"/>
        </w:rPr>
        <w:t>.7%</w:t>
      </w:r>
      <w:r w:rsidR="00BF686E">
        <w:rPr>
          <w:rFonts w:ascii="微软雅黑" w:eastAsia="微软雅黑" w:hAnsi="微软雅黑" w:hint="eastAsia"/>
          <w:color w:val="000000" w:themeColor="text1"/>
          <w:kern w:val="2"/>
          <w:sz w:val="21"/>
        </w:rPr>
        <w:t>的</w:t>
      </w:r>
      <w:r w:rsidR="007C4CD4">
        <w:rPr>
          <w:rFonts w:ascii="微软雅黑" w:eastAsia="微软雅黑" w:hAnsi="微软雅黑" w:hint="eastAsia"/>
          <w:color w:val="000000" w:themeColor="text1"/>
          <w:kern w:val="2"/>
          <w:sz w:val="21"/>
        </w:rPr>
        <w:t>高价值</w:t>
      </w:r>
      <w:r w:rsidR="00BF686E">
        <w:rPr>
          <w:rFonts w:ascii="微软雅黑" w:eastAsia="微软雅黑" w:hAnsi="微软雅黑" w:hint="eastAsia"/>
          <w:color w:val="000000" w:themeColor="text1"/>
          <w:kern w:val="2"/>
          <w:sz w:val="21"/>
        </w:rPr>
        <w:t>核心用户，有</w:t>
      </w:r>
      <w:r w:rsidR="00BF686E">
        <w:rPr>
          <w:rFonts w:ascii="微软雅黑" w:eastAsia="微软雅黑" w:hAnsi="微软雅黑" w:hint="eastAsia"/>
          <w:color w:val="000000" w:themeColor="text1"/>
          <w:kern w:val="2"/>
          <w:sz w:val="21"/>
        </w:rPr>
        <w:lastRenderedPageBreak/>
        <w:t>效验证了数据能力，同时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将</w:t>
      </w:r>
      <w:r w:rsidR="00BF686E">
        <w:rPr>
          <w:rFonts w:ascii="微软雅黑" w:eastAsia="微软雅黑" w:hAnsi="微软雅黑" w:hint="eastAsia"/>
          <w:color w:val="000000" w:themeColor="text1"/>
          <w:kern w:val="2"/>
          <w:sz w:val="21"/>
        </w:rPr>
        <w:t>更多的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行业资产</w:t>
      </w:r>
      <w:r w:rsidR="00BF686E">
        <w:rPr>
          <w:rFonts w:ascii="微软雅黑" w:eastAsia="微软雅黑" w:hAnsi="微软雅黑" w:hint="eastAsia"/>
          <w:color w:val="000000" w:themeColor="text1"/>
          <w:kern w:val="2"/>
          <w:sz w:val="21"/>
        </w:rPr>
        <w:t>模块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的应用，在</w:t>
      </w:r>
      <w:r>
        <w:rPr>
          <w:rFonts w:ascii="微软雅黑" w:eastAsia="微软雅黑" w:hAnsi="微软雅黑"/>
          <w:color w:val="000000" w:themeColor="text1"/>
          <w:kern w:val="2"/>
          <w:sz w:val="21"/>
        </w:rPr>
        <w:t>平台工具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上</w:t>
      </w:r>
      <w:r>
        <w:rPr>
          <w:rFonts w:ascii="微软雅黑" w:eastAsia="微软雅黑" w:hAnsi="微软雅黑"/>
          <w:color w:val="000000" w:themeColor="text1"/>
          <w:kern w:val="2"/>
          <w:sz w:val="21"/>
        </w:rPr>
        <w:t>进行标准化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上线，让更多广告主应用</w:t>
      </w:r>
      <w:r w:rsidR="00BF686E">
        <w:rPr>
          <w:rFonts w:ascii="微软雅黑" w:eastAsia="微软雅黑" w:hAnsi="微软雅黑" w:hint="eastAsia"/>
          <w:color w:val="000000" w:themeColor="text1"/>
          <w:kern w:val="2"/>
          <w:sz w:val="21"/>
        </w:rPr>
        <w:t>全域</w:t>
      </w:r>
      <w:r>
        <w:rPr>
          <w:rFonts w:ascii="微软雅黑" w:eastAsia="微软雅黑" w:hAnsi="微软雅黑" w:hint="eastAsia"/>
          <w:color w:val="000000" w:themeColor="text1"/>
          <w:kern w:val="2"/>
          <w:sz w:val="21"/>
        </w:rPr>
        <w:t>资产人群</w:t>
      </w:r>
      <w:r w:rsidR="007D6C79">
        <w:rPr>
          <w:rFonts w:ascii="微软雅黑" w:eastAsia="微软雅黑" w:hAnsi="微软雅黑" w:hint="eastAsia"/>
          <w:color w:val="000000" w:themeColor="text1"/>
          <w:kern w:val="2"/>
          <w:sz w:val="21"/>
        </w:rPr>
        <w:t>，提升广告投放效率。</w:t>
      </w:r>
    </w:p>
    <w:sectPr w:rsidR="00C53E9C" w:rsidRPr="00822AB9">
      <w:headerReference w:type="default" r:id="rId23"/>
      <w:footerReference w:type="even" r:id="rId24"/>
      <w:footerReference w:type="default" r:id="rId2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E24A0" w14:textId="77777777" w:rsidR="00CB50DD" w:rsidRDefault="00CB50DD">
      <w:r>
        <w:separator/>
      </w:r>
    </w:p>
  </w:endnote>
  <w:endnote w:type="continuationSeparator" w:id="0">
    <w:p w14:paraId="5845E6BD" w14:textId="77777777" w:rsidR="00CB50DD" w:rsidRDefault="00CB5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8B917" w14:textId="77777777" w:rsidR="00C53E9C" w:rsidRDefault="00E20AAA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48915F8D" w14:textId="77777777" w:rsidR="00C53E9C" w:rsidRDefault="00C53E9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32E3A" w14:textId="77777777" w:rsidR="00C53E9C" w:rsidRDefault="00C53E9C">
    <w:pPr>
      <w:pStyle w:val="a7"/>
      <w:framePr w:wrap="around" w:vAnchor="text" w:hAnchor="margin" w:xAlign="right" w:y="1"/>
      <w:rPr>
        <w:rStyle w:val="ad"/>
      </w:rPr>
    </w:pPr>
  </w:p>
  <w:p w14:paraId="79512688" w14:textId="77777777" w:rsidR="00C53E9C" w:rsidRDefault="00C53E9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3DFFE" w14:textId="77777777" w:rsidR="00CB50DD" w:rsidRDefault="00CB50DD">
      <w:r>
        <w:separator/>
      </w:r>
    </w:p>
  </w:footnote>
  <w:footnote w:type="continuationSeparator" w:id="0">
    <w:p w14:paraId="0E164CB6" w14:textId="77777777" w:rsidR="00CB50DD" w:rsidRDefault="00CB5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94257" w14:textId="77777777" w:rsidR="00C53E9C" w:rsidRDefault="00E20AAA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29C0086" wp14:editId="05CCBDF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1458D6"/>
    <w:multiLevelType w:val="multilevel"/>
    <w:tmpl w:val="191458D6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D004150"/>
    <w:multiLevelType w:val="multilevel"/>
    <w:tmpl w:val="7D004150"/>
    <w:lvl w:ilvl="0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9FEA4E41"/>
    <w:rsid w:val="0000069D"/>
    <w:rsid w:val="0002409C"/>
    <w:rsid w:val="00043C0C"/>
    <w:rsid w:val="00044F04"/>
    <w:rsid w:val="00045E0C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D4FC2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8779D"/>
    <w:rsid w:val="00290073"/>
    <w:rsid w:val="00290500"/>
    <w:rsid w:val="002A004E"/>
    <w:rsid w:val="002A1429"/>
    <w:rsid w:val="002A38CD"/>
    <w:rsid w:val="002B0CDA"/>
    <w:rsid w:val="002B7025"/>
    <w:rsid w:val="002C6B4F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715B"/>
    <w:rsid w:val="00361FEC"/>
    <w:rsid w:val="00362043"/>
    <w:rsid w:val="00370EE9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719F"/>
    <w:rsid w:val="00404490"/>
    <w:rsid w:val="00407FAE"/>
    <w:rsid w:val="004109EA"/>
    <w:rsid w:val="00423117"/>
    <w:rsid w:val="00426569"/>
    <w:rsid w:val="0044358A"/>
    <w:rsid w:val="00443C7A"/>
    <w:rsid w:val="004452BA"/>
    <w:rsid w:val="00451221"/>
    <w:rsid w:val="004555F7"/>
    <w:rsid w:val="00462CFD"/>
    <w:rsid w:val="004636A2"/>
    <w:rsid w:val="00463D7B"/>
    <w:rsid w:val="00466A17"/>
    <w:rsid w:val="00470C6C"/>
    <w:rsid w:val="00473BD9"/>
    <w:rsid w:val="00477AB3"/>
    <w:rsid w:val="0048122B"/>
    <w:rsid w:val="00484916"/>
    <w:rsid w:val="004861A7"/>
    <w:rsid w:val="0048758B"/>
    <w:rsid w:val="004A4904"/>
    <w:rsid w:val="004C43C7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443D"/>
    <w:rsid w:val="00564D51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3E27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4EF5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0857"/>
    <w:rsid w:val="00753753"/>
    <w:rsid w:val="007538EE"/>
    <w:rsid w:val="00787A78"/>
    <w:rsid w:val="00791829"/>
    <w:rsid w:val="00795109"/>
    <w:rsid w:val="007A0451"/>
    <w:rsid w:val="007A7A92"/>
    <w:rsid w:val="007B2D27"/>
    <w:rsid w:val="007C0828"/>
    <w:rsid w:val="007C2187"/>
    <w:rsid w:val="007C3F70"/>
    <w:rsid w:val="007C4C7A"/>
    <w:rsid w:val="007C4CD4"/>
    <w:rsid w:val="007D43C2"/>
    <w:rsid w:val="007D5451"/>
    <w:rsid w:val="007D6C79"/>
    <w:rsid w:val="007D76B6"/>
    <w:rsid w:val="007E0284"/>
    <w:rsid w:val="007E7139"/>
    <w:rsid w:val="007F6422"/>
    <w:rsid w:val="00813515"/>
    <w:rsid w:val="00814BE2"/>
    <w:rsid w:val="008159A4"/>
    <w:rsid w:val="00820C09"/>
    <w:rsid w:val="00822325"/>
    <w:rsid w:val="00822AB9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8F5BB3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0EA0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AA5"/>
    <w:rsid w:val="00AD1E2C"/>
    <w:rsid w:val="00AE7F81"/>
    <w:rsid w:val="00B05AA0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BF686E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53E9C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B50DD"/>
    <w:rsid w:val="00CC70FB"/>
    <w:rsid w:val="00CE55AC"/>
    <w:rsid w:val="00D13BC3"/>
    <w:rsid w:val="00D14F03"/>
    <w:rsid w:val="00D21A33"/>
    <w:rsid w:val="00D409BB"/>
    <w:rsid w:val="00D4736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905FA"/>
    <w:rsid w:val="00DA4C96"/>
    <w:rsid w:val="00DB3708"/>
    <w:rsid w:val="00DB7EEC"/>
    <w:rsid w:val="00DC397E"/>
    <w:rsid w:val="00DC3EBF"/>
    <w:rsid w:val="00DC3FCF"/>
    <w:rsid w:val="00E004F9"/>
    <w:rsid w:val="00E0213B"/>
    <w:rsid w:val="00E10DBE"/>
    <w:rsid w:val="00E14A7D"/>
    <w:rsid w:val="00E16890"/>
    <w:rsid w:val="00E20AAA"/>
    <w:rsid w:val="00E23547"/>
    <w:rsid w:val="00E336C0"/>
    <w:rsid w:val="00E33D4D"/>
    <w:rsid w:val="00E36AC3"/>
    <w:rsid w:val="00E41C55"/>
    <w:rsid w:val="00E457D7"/>
    <w:rsid w:val="00E46527"/>
    <w:rsid w:val="00E46A25"/>
    <w:rsid w:val="00E478DB"/>
    <w:rsid w:val="00E52687"/>
    <w:rsid w:val="00E60CF7"/>
    <w:rsid w:val="00E60DF3"/>
    <w:rsid w:val="00E724E5"/>
    <w:rsid w:val="00E7356B"/>
    <w:rsid w:val="00E745ED"/>
    <w:rsid w:val="00E77E2B"/>
    <w:rsid w:val="00E8120B"/>
    <w:rsid w:val="00E81F52"/>
    <w:rsid w:val="00E846BA"/>
    <w:rsid w:val="00E84AE8"/>
    <w:rsid w:val="00E8550A"/>
    <w:rsid w:val="00E86C47"/>
    <w:rsid w:val="00E92CC7"/>
    <w:rsid w:val="00E93D45"/>
    <w:rsid w:val="00EA7620"/>
    <w:rsid w:val="00EB404E"/>
    <w:rsid w:val="00EC14B1"/>
    <w:rsid w:val="00EC6379"/>
    <w:rsid w:val="00ED507C"/>
    <w:rsid w:val="00EE38CD"/>
    <w:rsid w:val="00EE6D2C"/>
    <w:rsid w:val="00EF7F06"/>
    <w:rsid w:val="00F02271"/>
    <w:rsid w:val="00F1733B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D7BD4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D2FB27"/>
  <w15:docId w15:val="{CB77ED90-0A1E-A34C-8199-A5C191B95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link w:val="af0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af0">
    <w:name w:val="列表段落 字符"/>
    <w:basedOn w:val="a0"/>
    <w:link w:val="10"/>
    <w:uiPriority w:val="34"/>
    <w:qFormat/>
    <w:locked/>
    <w:rPr>
      <w:rFonts w:ascii="Calibri" w:hAnsi="Calibri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319</Words>
  <Characters>1822</Characters>
  <Application>Microsoft Office Word</Application>
  <DocSecurity>0</DocSecurity>
  <Lines>15</Lines>
  <Paragraphs>4</Paragraphs>
  <ScaleCrop>false</ScaleCrop>
  <Company>WWW.YlmF.CoM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2013-11-12T09:54:00Z</cp:lastPrinted>
  <dcterms:created xsi:type="dcterms:W3CDTF">2021-02-09T06:04:00Z</dcterms:created>
  <dcterms:modified xsi:type="dcterms:W3CDTF">2021-02-23T03:06:00Z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2052-3.2.1.5071</vt:lpwstr>
  </property>
</Properties>
</file>