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48ACA33" w14:textId="2A5497C5" w:rsidR="00111D34" w:rsidRPr="00111D34" w:rsidRDefault="00111D34" w:rsidP="00111D34">
      <w:pPr>
        <w:pStyle w:val="p0"/>
        <w:shd w:val="clear" w:color="auto" w:fill="FFFFFF"/>
        <w:autoSpaceDN w:val="0"/>
        <w:spacing w:beforeLines="100" w:before="240" w:afterLines="100" w:after="240"/>
        <w:jc w:val="center"/>
        <w:rPr>
          <w:rFonts w:ascii="微软雅黑" w:eastAsia="微软雅黑" w:hAnsi="微软雅黑"/>
          <w:b/>
          <w:sz w:val="32"/>
          <w:szCs w:val="32"/>
        </w:rPr>
      </w:pPr>
      <w:r w:rsidRPr="00111D34">
        <w:rPr>
          <w:rFonts w:ascii="微软雅黑" w:eastAsia="微软雅黑" w:hAnsi="微软雅黑" w:hint="eastAsia"/>
          <w:b/>
          <w:sz w:val="32"/>
          <w:szCs w:val="32"/>
        </w:rPr>
        <w:t>宝格丽520节庆“互动式全生态营销plus”</w:t>
      </w:r>
    </w:p>
    <w:p w14:paraId="502F3F5D" w14:textId="77777777" w:rsidR="008B689B" w:rsidRPr="002C3779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C3779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0D6896" w:rsidRPr="002C3779">
        <w:rPr>
          <w:rFonts w:ascii="微软雅黑" w:eastAsia="微软雅黑" w:hAnsi="微软雅黑" w:hint="eastAsia"/>
          <w:sz w:val="21"/>
          <w:szCs w:val="21"/>
        </w:rPr>
        <w:t>宝格丽</w:t>
      </w:r>
    </w:p>
    <w:p w14:paraId="3F9EB6AA" w14:textId="77777777" w:rsidR="008B689B" w:rsidRPr="002C3779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C3779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0D6896" w:rsidRPr="002C3779">
        <w:rPr>
          <w:rFonts w:ascii="微软雅黑" w:eastAsia="微软雅黑" w:hAnsi="微软雅黑" w:hint="eastAsia"/>
          <w:sz w:val="21"/>
          <w:szCs w:val="21"/>
        </w:rPr>
        <w:t>奢侈品行业</w:t>
      </w:r>
    </w:p>
    <w:p w14:paraId="46D27678" w14:textId="77777777" w:rsidR="008B689B" w:rsidRPr="002C3779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C3779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2C3779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2C3779">
        <w:rPr>
          <w:rFonts w:ascii="微软雅黑" w:eastAsia="微软雅黑" w:hAnsi="微软雅黑"/>
          <w:sz w:val="21"/>
          <w:szCs w:val="21"/>
        </w:rPr>
        <w:t>20</w:t>
      </w:r>
      <w:r w:rsidR="00B03FD0" w:rsidRPr="002C3779">
        <w:rPr>
          <w:rFonts w:ascii="微软雅黑" w:eastAsia="微软雅黑" w:hAnsi="微软雅黑" w:hint="eastAsia"/>
          <w:sz w:val="21"/>
          <w:szCs w:val="21"/>
        </w:rPr>
        <w:t>.0</w:t>
      </w:r>
      <w:r w:rsidR="000D6896" w:rsidRPr="002C3779">
        <w:rPr>
          <w:rFonts w:ascii="微软雅黑" w:eastAsia="微软雅黑" w:hAnsi="微软雅黑" w:hint="eastAsia"/>
          <w:sz w:val="21"/>
          <w:szCs w:val="21"/>
        </w:rPr>
        <w:t>5.04</w:t>
      </w:r>
      <w:r w:rsidR="00B03FD0" w:rsidRPr="002C3779">
        <w:rPr>
          <w:rFonts w:ascii="微软雅黑" w:eastAsia="微软雅黑" w:hAnsi="微软雅黑" w:hint="eastAsia"/>
          <w:sz w:val="21"/>
          <w:szCs w:val="21"/>
        </w:rPr>
        <w:t>-</w:t>
      </w:r>
      <w:r w:rsidR="000D6896" w:rsidRPr="002C3779">
        <w:rPr>
          <w:rFonts w:ascii="微软雅黑" w:eastAsia="微软雅黑" w:hAnsi="微软雅黑" w:hint="eastAsia"/>
          <w:sz w:val="21"/>
          <w:szCs w:val="21"/>
        </w:rPr>
        <w:t>05.13</w:t>
      </w:r>
    </w:p>
    <w:p w14:paraId="720B9A55" w14:textId="3CB0A529" w:rsidR="008875A4" w:rsidRPr="002C3779" w:rsidRDefault="000631F9" w:rsidP="00111D34">
      <w:pPr>
        <w:spacing w:after="240"/>
        <w:textAlignment w:val="baseline"/>
        <w:rPr>
          <w:rFonts w:ascii="微软雅黑" w:eastAsia="微软雅黑" w:hAnsi="微软雅黑"/>
          <w:b/>
          <w:color w:val="0000FF"/>
          <w:sz w:val="21"/>
          <w:szCs w:val="21"/>
        </w:rPr>
      </w:pPr>
      <w:r w:rsidRPr="002C3779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111D34" w:rsidRPr="002C3779">
        <w:rPr>
          <w:rFonts w:ascii="微软雅黑" w:eastAsia="微软雅黑" w:hAnsi="微软雅黑"/>
          <w:bCs/>
          <w:sz w:val="21"/>
          <w:szCs w:val="21"/>
        </w:rPr>
        <w:t>电商营销类</w:t>
      </w:r>
    </w:p>
    <w:p w14:paraId="422CA9E9" w14:textId="77777777" w:rsidR="00B5241D" w:rsidRPr="002B1FC2" w:rsidRDefault="000631F9" w:rsidP="00111D3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8E2BAA7" w14:textId="622EF081" w:rsidR="000631F9" w:rsidRPr="00111D34" w:rsidRDefault="00E3233E" w:rsidP="00111D3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D6896">
        <w:rPr>
          <w:rFonts w:ascii="微软雅黑" w:eastAsia="微软雅黑" w:hAnsi="微软雅黑"/>
          <w:sz w:val="21"/>
          <w:szCs w:val="21"/>
        </w:rPr>
        <w:t>202</w:t>
      </w:r>
      <w:r w:rsidRPr="000D6896">
        <w:rPr>
          <w:rFonts w:ascii="微软雅黑" w:eastAsia="微软雅黑" w:hAnsi="微软雅黑" w:hint="eastAsia"/>
          <w:sz w:val="21"/>
          <w:szCs w:val="21"/>
        </w:rPr>
        <w:t>0</w:t>
      </w:r>
      <w:r w:rsidRPr="000D6896">
        <w:rPr>
          <w:rFonts w:ascii="微软雅黑" w:eastAsia="微软雅黑" w:hAnsi="微软雅黑"/>
          <w:sz w:val="21"/>
          <w:szCs w:val="21"/>
        </w:rPr>
        <w:t>年</w:t>
      </w:r>
      <w:r w:rsidRPr="000D6896">
        <w:rPr>
          <w:rFonts w:ascii="微软雅黑" w:eastAsia="微软雅黑" w:hAnsi="微软雅黑" w:hint="eastAsia"/>
          <w:sz w:val="21"/>
          <w:szCs w:val="21"/>
        </w:rPr>
        <w:t>疫情全球危机</w:t>
      </w:r>
      <w:r w:rsidRPr="000D6896">
        <w:rPr>
          <w:rFonts w:ascii="微软雅黑" w:eastAsia="微软雅黑" w:hAnsi="微软雅黑"/>
          <w:sz w:val="21"/>
          <w:szCs w:val="21"/>
        </w:rPr>
        <w:t>使得奢侈品行业遭受了前所未有冲击，而加速数字化</w:t>
      </w:r>
      <w:r w:rsidRPr="000D6896">
        <w:rPr>
          <w:rFonts w:ascii="微软雅黑" w:eastAsia="微软雅黑" w:hAnsi="微软雅黑" w:hint="eastAsia"/>
          <w:sz w:val="21"/>
          <w:szCs w:val="21"/>
        </w:rPr>
        <w:t>转型已经成为奢侈品牌扭乾坤的不二选择。520正是国内疫情缓和后的第一个互联网节日，宝格丽作为行业数字化先锋，必将把握该节庆节点，拉动线上生意增长。</w:t>
      </w:r>
    </w:p>
    <w:p w14:paraId="4D1F44CD" w14:textId="77777777" w:rsidR="000631F9" w:rsidRPr="002B1FC2" w:rsidRDefault="000631F9" w:rsidP="00111D3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50451DA4" w14:textId="3DCD7D20" w:rsidR="00E3233E" w:rsidRPr="00111D34" w:rsidRDefault="00E3233E" w:rsidP="00111D3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D6896">
        <w:rPr>
          <w:rFonts w:ascii="微软雅黑" w:eastAsia="微软雅黑" w:hAnsi="微软雅黑" w:hint="eastAsia"/>
          <w:sz w:val="21"/>
          <w:szCs w:val="21"/>
        </w:rPr>
        <w:t>借助腾讯全生态能力，为</w:t>
      </w:r>
      <w:r w:rsidR="00C925D6" w:rsidRPr="000D6896">
        <w:rPr>
          <w:rFonts w:ascii="微软雅黑" w:eastAsia="微软雅黑" w:hAnsi="微软雅黑" w:hint="eastAsia"/>
          <w:sz w:val="21"/>
          <w:szCs w:val="21"/>
        </w:rPr>
        <w:t>宝格丽</w:t>
      </w:r>
      <w:r w:rsidRPr="000D6896">
        <w:rPr>
          <w:rFonts w:ascii="微软雅黑" w:eastAsia="微软雅黑" w:hAnsi="微软雅黑" w:hint="eastAsia"/>
          <w:sz w:val="21"/>
          <w:szCs w:val="21"/>
        </w:rPr>
        <w:t>小程序商城生意增长助力，带动整体品牌生意复苏。</w:t>
      </w:r>
    </w:p>
    <w:p w14:paraId="068EEC75" w14:textId="77777777" w:rsidR="00B5241D" w:rsidRPr="002B1FC2" w:rsidRDefault="000631F9" w:rsidP="00111D3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E41026E" w14:textId="0F45FC8F" w:rsidR="00C925D6" w:rsidRPr="00111D34" w:rsidRDefault="00C925D6" w:rsidP="00111D3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D6896">
        <w:rPr>
          <w:rFonts w:ascii="微软雅黑" w:eastAsia="微软雅黑" w:hAnsi="微软雅黑" w:hint="eastAsia"/>
          <w:sz w:val="21"/>
          <w:szCs w:val="21"/>
        </w:rPr>
        <w:t>在奢侈品营销的</w:t>
      </w:r>
      <w:r w:rsidRPr="000D6896">
        <w:rPr>
          <w:rFonts w:ascii="微软雅黑" w:eastAsia="微软雅黑" w:hAnsi="微软雅黑"/>
          <w:sz w:val="21"/>
          <w:szCs w:val="21"/>
        </w:rPr>
        <w:t>520黄金节点，宝格丽以微信小程序商城为核心阵地</w:t>
      </w:r>
      <w:r w:rsidRPr="000D6896">
        <w:rPr>
          <w:rFonts w:ascii="微软雅黑" w:eastAsia="微软雅黑" w:hAnsi="微软雅黑" w:hint="eastAsia"/>
          <w:sz w:val="21"/>
          <w:szCs w:val="21"/>
        </w:rPr>
        <w:t>，</w:t>
      </w:r>
      <w:r w:rsidRPr="000D6896">
        <w:rPr>
          <w:rFonts w:ascii="微软雅黑" w:eastAsia="微软雅黑" w:hAnsi="微软雅黑"/>
          <w:sz w:val="21"/>
          <w:szCs w:val="21"/>
        </w:rPr>
        <w:t>联动腾讯视</w:t>
      </w:r>
      <w:r w:rsidRPr="000D6896">
        <w:rPr>
          <w:rFonts w:ascii="微软雅黑" w:eastAsia="微软雅黑" w:hAnsi="微软雅黑" w:hint="eastAsia"/>
          <w:sz w:val="21"/>
          <w:szCs w:val="21"/>
        </w:rPr>
        <w:t>频、</w:t>
      </w:r>
      <w:r w:rsidRPr="000D6896">
        <w:rPr>
          <w:rFonts w:ascii="微软雅黑" w:eastAsia="微软雅黑" w:hAnsi="微软雅黑"/>
          <w:sz w:val="21"/>
          <w:szCs w:val="21"/>
        </w:rPr>
        <w:t xml:space="preserve"> 腾讯新闻</w:t>
      </w:r>
      <w:r w:rsidRPr="000D6896">
        <w:rPr>
          <w:rFonts w:ascii="微软雅黑" w:eastAsia="微软雅黑" w:hAnsi="微软雅黑" w:hint="eastAsia"/>
          <w:sz w:val="21"/>
          <w:szCs w:val="21"/>
        </w:rPr>
        <w:t>、</w:t>
      </w:r>
      <w:r w:rsidRPr="000D6896">
        <w:rPr>
          <w:rFonts w:ascii="微软雅黑" w:eastAsia="微软雅黑" w:hAnsi="微软雅黑"/>
          <w:sz w:val="21"/>
          <w:szCs w:val="21"/>
        </w:rPr>
        <w:t>QQ 音乐等腾讯多平台资源，以创新的互动广告形式和全生态深度</w:t>
      </w:r>
      <w:r w:rsidRPr="000D6896">
        <w:rPr>
          <w:rFonts w:ascii="微软雅黑" w:eastAsia="微软雅黑" w:hAnsi="微软雅黑" w:hint="eastAsia"/>
          <w:sz w:val="21"/>
          <w:szCs w:val="21"/>
        </w:rPr>
        <w:t>联动的</w:t>
      </w:r>
      <w:r w:rsidRPr="000D6896">
        <w:rPr>
          <w:rFonts w:ascii="微软雅黑" w:eastAsia="微软雅黑" w:hAnsi="微软雅黑"/>
          <w:sz w:val="21"/>
          <w:szCs w:val="21"/>
        </w:rPr>
        <w:t>投放策略，探索了“互动式全生态营销 plus”</w:t>
      </w:r>
      <w:r w:rsidRPr="000D6896">
        <w:rPr>
          <w:rFonts w:ascii="微软雅黑" w:eastAsia="微软雅黑" w:hAnsi="微软雅黑" w:hint="eastAsia"/>
          <w:sz w:val="21"/>
          <w:szCs w:val="21"/>
        </w:rPr>
        <w:t>模式，试图在奢侈品行业实现基于“</w:t>
      </w:r>
      <w:r w:rsidRPr="000D6896">
        <w:rPr>
          <w:rFonts w:ascii="微软雅黑" w:eastAsia="微软雅黑" w:hAnsi="微软雅黑"/>
          <w:sz w:val="21"/>
          <w:szCs w:val="21"/>
        </w:rPr>
        <w:t>.c</w:t>
      </w:r>
      <w:r w:rsidRPr="000D6896">
        <w:rPr>
          <w:rFonts w:ascii="微软雅黑" w:eastAsia="微软雅黑" w:hAnsi="微软雅黑" w:hint="eastAsia"/>
          <w:sz w:val="21"/>
          <w:szCs w:val="21"/>
        </w:rPr>
        <w:t>om2.0”时代的更迅猛进阶。</w:t>
      </w:r>
    </w:p>
    <w:p w14:paraId="0F06F8BA" w14:textId="77777777" w:rsidR="00B5241D" w:rsidRPr="002B1FC2" w:rsidRDefault="000631F9" w:rsidP="00111D3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7745E781" w14:textId="49CF1C0F" w:rsidR="00FF6BAC" w:rsidRDefault="00CB26CB" w:rsidP="00111D3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C3779">
        <w:rPr>
          <w:rFonts w:ascii="微软雅黑" w:eastAsia="微软雅黑" w:hAnsi="微软雅黑"/>
          <w:b/>
          <w:bCs/>
          <w:sz w:val="21"/>
          <w:szCs w:val="21"/>
        </w:rPr>
        <w:t>1</w:t>
      </w:r>
      <w:r w:rsidR="002C3779" w:rsidRPr="002C3779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Pr="002C3779">
        <w:rPr>
          <w:rFonts w:ascii="微软雅黑" w:eastAsia="微软雅黑" w:hAnsi="微软雅黑"/>
          <w:b/>
          <w:bCs/>
          <w:sz w:val="21"/>
          <w:szCs w:val="21"/>
        </w:rPr>
        <w:t>互动Plus：</w:t>
      </w:r>
      <w:r w:rsidRPr="000D6896">
        <w:rPr>
          <w:rFonts w:ascii="微软雅黑" w:eastAsia="微软雅黑" w:hAnsi="微软雅黑"/>
          <w:sz w:val="21"/>
          <w:szCs w:val="21"/>
        </w:rPr>
        <w:t>520</w:t>
      </w:r>
      <w:proofErr w:type="gramStart"/>
      <w:r w:rsidRPr="000D6896">
        <w:rPr>
          <w:rFonts w:ascii="微软雅黑" w:eastAsia="微软雅黑" w:hAnsi="微软雅黑"/>
          <w:sz w:val="21"/>
          <w:szCs w:val="21"/>
        </w:rPr>
        <w:t>期间宝</w:t>
      </w:r>
      <w:proofErr w:type="gramEnd"/>
      <w:r w:rsidRPr="000D6896">
        <w:rPr>
          <w:rFonts w:ascii="微软雅黑" w:eastAsia="微软雅黑" w:hAnsi="微软雅黑"/>
          <w:sz w:val="21"/>
          <w:szCs w:val="21"/>
        </w:rPr>
        <w:t>格丽同步解锁朋友</w:t>
      </w:r>
      <w:proofErr w:type="gramStart"/>
      <w:r w:rsidRPr="000D6896">
        <w:rPr>
          <w:rFonts w:ascii="微软雅黑" w:eastAsia="微软雅黑" w:hAnsi="微软雅黑"/>
          <w:sz w:val="21"/>
          <w:szCs w:val="21"/>
        </w:rPr>
        <w:t>圈长按式</w:t>
      </w:r>
      <w:proofErr w:type="gramEnd"/>
      <w:r w:rsidRPr="000D6896">
        <w:rPr>
          <w:rFonts w:ascii="微软雅黑" w:eastAsia="微软雅黑" w:hAnsi="微软雅黑"/>
          <w:sz w:val="21"/>
          <w:szCs w:val="21"/>
        </w:rPr>
        <w:t>卡片</w:t>
      </w:r>
      <w:proofErr w:type="gramStart"/>
      <w:r w:rsidRPr="000D6896">
        <w:rPr>
          <w:rFonts w:ascii="微软雅黑" w:eastAsia="微软雅黑" w:hAnsi="微软雅黑"/>
          <w:sz w:val="21"/>
          <w:szCs w:val="21"/>
        </w:rPr>
        <w:t>和腾讯</w:t>
      </w:r>
      <w:r w:rsidRPr="000D6896">
        <w:rPr>
          <w:rFonts w:ascii="微软雅黑" w:eastAsia="微软雅黑" w:hAnsi="微软雅黑" w:hint="eastAsia"/>
          <w:sz w:val="21"/>
          <w:szCs w:val="21"/>
        </w:rPr>
        <w:t>视频</w:t>
      </w:r>
      <w:proofErr w:type="gramEnd"/>
      <w:r w:rsidRPr="000D6896">
        <w:rPr>
          <w:rFonts w:ascii="微软雅黑" w:eastAsia="微软雅黑" w:hAnsi="微软雅黑" w:hint="eastAsia"/>
          <w:sz w:val="21"/>
          <w:szCs w:val="21"/>
        </w:rPr>
        <w:t>“轻互动闪屏”两种互动广告形式，成为奢侈品行业中首次试水这两类广告新形式的品牌。两种广告形式均与宝格丽小程序商城链接，为宝格丽构建了更为便捷的线上短链消费场景。</w:t>
      </w:r>
    </w:p>
    <w:p w14:paraId="368FE771" w14:textId="4CA9A4B9" w:rsidR="00111D34" w:rsidRDefault="00111D34" w:rsidP="00111D3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11D34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23212806" wp14:editId="7F1350E5">
            <wp:extent cx="5720715" cy="53409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34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3427" w14:textId="1A6D2CA3" w:rsidR="00CB26CB" w:rsidRPr="000D6896" w:rsidRDefault="00CB26CB" w:rsidP="00111D3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C3779">
        <w:rPr>
          <w:rFonts w:ascii="微软雅黑" w:eastAsia="微软雅黑" w:hAnsi="微软雅黑"/>
          <w:b/>
          <w:bCs/>
          <w:sz w:val="21"/>
          <w:szCs w:val="21"/>
        </w:rPr>
        <w:t>2</w:t>
      </w:r>
      <w:r w:rsidR="002C3779" w:rsidRPr="002C3779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Pr="002C3779">
        <w:rPr>
          <w:rFonts w:ascii="微软雅黑" w:eastAsia="微软雅黑" w:hAnsi="微软雅黑"/>
          <w:b/>
          <w:bCs/>
          <w:sz w:val="21"/>
          <w:szCs w:val="21"/>
        </w:rPr>
        <w:t>生态Plus：</w:t>
      </w:r>
      <w:r w:rsidRPr="000D6896">
        <w:rPr>
          <w:rFonts w:ascii="微软雅黑" w:eastAsia="微软雅黑" w:hAnsi="微软雅黑"/>
          <w:sz w:val="21"/>
          <w:szCs w:val="21"/>
        </w:rPr>
        <w:t>另一方面， 通过多场景、多平台的流量应用， 升级</w:t>
      </w:r>
      <w:r w:rsidRPr="000D6896">
        <w:rPr>
          <w:rFonts w:ascii="微软雅黑" w:eastAsia="微软雅黑" w:hAnsi="微软雅黑" w:hint="eastAsia"/>
          <w:sz w:val="21"/>
          <w:szCs w:val="21"/>
        </w:rPr>
        <w:t>联动</w:t>
      </w:r>
      <w:proofErr w:type="gramStart"/>
      <w:r w:rsidRPr="000D6896">
        <w:rPr>
          <w:rFonts w:ascii="微软雅黑" w:eastAsia="微软雅黑" w:hAnsi="微软雅黑" w:hint="eastAsia"/>
          <w:sz w:val="21"/>
          <w:szCs w:val="21"/>
        </w:rPr>
        <w:t>更多腾讯广告</w:t>
      </w:r>
      <w:proofErr w:type="gramEnd"/>
      <w:r w:rsidRPr="000D6896">
        <w:rPr>
          <w:rFonts w:ascii="微软雅黑" w:eastAsia="微软雅黑" w:hAnsi="微软雅黑" w:hint="eastAsia"/>
          <w:sz w:val="21"/>
          <w:szCs w:val="21"/>
        </w:rPr>
        <w:t>生态资源能力。进入</w:t>
      </w:r>
      <w:r w:rsidRPr="000D6896">
        <w:rPr>
          <w:rFonts w:ascii="微软雅黑" w:eastAsia="微软雅黑" w:hAnsi="微软雅黑"/>
          <w:sz w:val="21"/>
          <w:szCs w:val="21"/>
        </w:rPr>
        <w:t>520黄金营销阶段后，宝</w:t>
      </w:r>
      <w:r w:rsidRPr="000D6896">
        <w:rPr>
          <w:rFonts w:ascii="微软雅黑" w:eastAsia="微软雅黑" w:hAnsi="微软雅黑" w:hint="eastAsia"/>
          <w:sz w:val="21"/>
          <w:szCs w:val="21"/>
        </w:rPr>
        <w:t>格丽搜一搜品牌专区和朋友圈全幅卡片的首度联合推广，将社交和搜索场景的效应叠加，搭建了品牌展示的第二主场。再在腾讯视频、腾讯新闻、</w:t>
      </w:r>
      <w:r w:rsidRPr="000D6896">
        <w:rPr>
          <w:rFonts w:ascii="微软雅黑" w:eastAsia="微软雅黑" w:hAnsi="微软雅黑"/>
          <w:sz w:val="21"/>
          <w:szCs w:val="21"/>
        </w:rPr>
        <w:t>QQ音乐进行闪屏联投，全部直达小程序商城，</w:t>
      </w:r>
      <w:r w:rsidRPr="000D6896">
        <w:rPr>
          <w:rFonts w:ascii="微软雅黑" w:eastAsia="微软雅黑" w:hAnsi="微软雅黑" w:hint="eastAsia"/>
          <w:sz w:val="21"/>
          <w:szCs w:val="21"/>
        </w:rPr>
        <w:t>实现品牌的全方位触达。</w:t>
      </w:r>
    </w:p>
    <w:p w14:paraId="5B109269" w14:textId="28233AD2" w:rsidR="000631F9" w:rsidRDefault="00CB26CB" w:rsidP="00111D3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C3779">
        <w:rPr>
          <w:rFonts w:ascii="微软雅黑" w:eastAsia="微软雅黑" w:hAnsi="微软雅黑"/>
          <w:b/>
          <w:bCs/>
          <w:sz w:val="21"/>
          <w:szCs w:val="21"/>
        </w:rPr>
        <w:t>3</w:t>
      </w:r>
      <w:r w:rsidR="002C3779" w:rsidRPr="002C3779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Pr="002C3779">
        <w:rPr>
          <w:rFonts w:ascii="微软雅黑" w:eastAsia="微软雅黑" w:hAnsi="微软雅黑"/>
          <w:b/>
          <w:bCs/>
          <w:sz w:val="21"/>
          <w:szCs w:val="21"/>
        </w:rPr>
        <w:t>二次传播：</w:t>
      </w:r>
      <w:r w:rsidRPr="000D6896">
        <w:rPr>
          <w:rFonts w:ascii="微软雅黑" w:eastAsia="微软雅黑" w:hAnsi="微软雅黑"/>
          <w:sz w:val="21"/>
          <w:szCs w:val="21"/>
        </w:rPr>
        <w:t>除了全生态多场景触达、全部直达小程序商城合力</w:t>
      </w:r>
      <w:r w:rsidRPr="000D6896">
        <w:rPr>
          <w:rFonts w:ascii="微软雅黑" w:eastAsia="微软雅黑" w:hAnsi="微软雅黑" w:hint="eastAsia"/>
          <w:sz w:val="21"/>
          <w:szCs w:val="21"/>
        </w:rPr>
        <w:t>引流外，通过为电</w:t>
      </w:r>
      <w:proofErr w:type="gramStart"/>
      <w:r w:rsidRPr="000D6896">
        <w:rPr>
          <w:rFonts w:ascii="微软雅黑" w:eastAsia="微软雅黑" w:hAnsi="微软雅黑" w:hint="eastAsia"/>
          <w:sz w:val="21"/>
          <w:szCs w:val="21"/>
        </w:rPr>
        <w:t>商客户</w:t>
      </w:r>
      <w:proofErr w:type="gramEnd"/>
      <w:r w:rsidRPr="000D6896">
        <w:rPr>
          <w:rFonts w:ascii="微软雅黑" w:eastAsia="微软雅黑" w:hAnsi="微软雅黑" w:hint="eastAsia"/>
          <w:sz w:val="21"/>
          <w:szCs w:val="21"/>
        </w:rPr>
        <w:t>打造的专属红包封面，再次引发了宝格</w:t>
      </w:r>
      <w:proofErr w:type="gramStart"/>
      <w:r w:rsidRPr="000D6896">
        <w:rPr>
          <w:rFonts w:ascii="微软雅黑" w:eastAsia="微软雅黑" w:hAnsi="微软雅黑" w:hint="eastAsia"/>
          <w:sz w:val="21"/>
          <w:szCs w:val="21"/>
        </w:rPr>
        <w:t>丽品牌</w:t>
      </w:r>
      <w:proofErr w:type="gramEnd"/>
      <w:r w:rsidRPr="000D6896">
        <w:rPr>
          <w:rFonts w:ascii="微软雅黑" w:eastAsia="微软雅黑" w:hAnsi="微软雅黑" w:hint="eastAsia"/>
          <w:sz w:val="21"/>
          <w:szCs w:val="21"/>
        </w:rPr>
        <w:t>信息的二次传播，进一步</w:t>
      </w:r>
      <w:proofErr w:type="gramStart"/>
      <w:r w:rsidRPr="000D6896">
        <w:rPr>
          <w:rFonts w:ascii="微软雅黑" w:eastAsia="微软雅黑" w:hAnsi="微软雅黑" w:hint="eastAsia"/>
          <w:sz w:val="21"/>
          <w:szCs w:val="21"/>
        </w:rPr>
        <w:t>激发私域运营</w:t>
      </w:r>
      <w:proofErr w:type="gramEnd"/>
      <w:r w:rsidRPr="000D6896">
        <w:rPr>
          <w:rFonts w:ascii="微软雅黑" w:eastAsia="微软雅黑" w:hAnsi="微软雅黑" w:hint="eastAsia"/>
          <w:sz w:val="21"/>
          <w:szCs w:val="21"/>
        </w:rPr>
        <w:t>的更大潜能。</w:t>
      </w:r>
    </w:p>
    <w:p w14:paraId="5CE3F3B1" w14:textId="39354359" w:rsidR="00FF6BAC" w:rsidRPr="00111D34" w:rsidRDefault="00111D34" w:rsidP="00111D3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11D34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745B6FB6" wp14:editId="684AD882">
            <wp:extent cx="5720715" cy="28314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EB253" w14:textId="77777777" w:rsidR="00E40EE7" w:rsidRDefault="000631F9" w:rsidP="00111D3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AFBD1AE" w14:textId="4AF6C40B" w:rsidR="005921F3" w:rsidRPr="000D6896" w:rsidRDefault="005921F3" w:rsidP="00111D3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D6896">
        <w:rPr>
          <w:rFonts w:ascii="微软雅黑" w:eastAsia="微软雅黑" w:hAnsi="微软雅黑"/>
          <w:sz w:val="21"/>
          <w:szCs w:val="21"/>
        </w:rPr>
        <w:t>1</w:t>
      </w:r>
      <w:r w:rsidR="00111D34">
        <w:rPr>
          <w:rFonts w:ascii="微软雅黑" w:eastAsia="微软雅黑" w:hAnsi="微软雅黑" w:hint="eastAsia"/>
          <w:sz w:val="21"/>
          <w:szCs w:val="21"/>
        </w:rPr>
        <w:t>、</w:t>
      </w:r>
      <w:r w:rsidRPr="000D6896">
        <w:rPr>
          <w:rFonts w:ascii="微软雅黑" w:eastAsia="微软雅黑" w:hAnsi="微软雅黑"/>
          <w:sz w:val="21"/>
          <w:szCs w:val="21"/>
        </w:rPr>
        <w:t>朋友圈长按式卡片与腾讯视频“轻互动闪屏两支广告的互动率与点击率均高于常规行业均值</w:t>
      </w:r>
      <w:r w:rsidRPr="000D6896">
        <w:rPr>
          <w:rFonts w:ascii="微软雅黑" w:eastAsia="微软雅黑" w:hAnsi="微软雅黑" w:hint="eastAsia"/>
          <w:sz w:val="21"/>
          <w:szCs w:val="21"/>
        </w:rPr>
        <w:t>的</w:t>
      </w:r>
      <w:r w:rsidRPr="000D6896">
        <w:rPr>
          <w:rFonts w:ascii="微软雅黑" w:eastAsia="微软雅黑" w:hAnsi="微软雅黑"/>
          <w:sz w:val="21"/>
          <w:szCs w:val="21"/>
        </w:rPr>
        <w:t>2.5倍，不仅给用户带来视觉新鲜感和深刻己忆点，显著提升了用户参与广告互动的意愿，</w:t>
      </w:r>
      <w:r w:rsidRPr="000D6896">
        <w:rPr>
          <w:rFonts w:ascii="微软雅黑" w:eastAsia="微软雅黑" w:hAnsi="微软雅黑" w:hint="eastAsia"/>
          <w:sz w:val="21"/>
          <w:szCs w:val="21"/>
        </w:rPr>
        <w:t>创意实现了营销突围。</w:t>
      </w:r>
    </w:p>
    <w:p w14:paraId="6A3343EF" w14:textId="4E5205A9" w:rsidR="00BC7577" w:rsidRPr="002C3779" w:rsidRDefault="005921F3" w:rsidP="002C3779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0D6896">
        <w:rPr>
          <w:rFonts w:ascii="微软雅黑" w:eastAsia="微软雅黑" w:hAnsi="微软雅黑"/>
          <w:sz w:val="21"/>
          <w:szCs w:val="21"/>
        </w:rPr>
        <w:t>2</w:t>
      </w:r>
      <w:r w:rsidR="00111D34">
        <w:rPr>
          <w:rFonts w:ascii="微软雅黑" w:eastAsia="微软雅黑" w:hAnsi="微软雅黑" w:hint="eastAsia"/>
          <w:sz w:val="21"/>
          <w:szCs w:val="21"/>
        </w:rPr>
        <w:t>、</w:t>
      </w:r>
      <w:r w:rsidRPr="000D6896">
        <w:rPr>
          <w:rFonts w:ascii="微软雅黑" w:eastAsia="微软雅黑" w:hAnsi="微软雅黑"/>
          <w:sz w:val="21"/>
          <w:szCs w:val="21"/>
        </w:rPr>
        <w:t>520期间，宝格丽online到达人群增长近200%，online销售额达到副去年同期的三倍，主打的全</w:t>
      </w:r>
      <w:r w:rsidRPr="000D6896">
        <w:rPr>
          <w:rFonts w:ascii="微软雅黑" w:eastAsia="微软雅黑" w:hAnsi="微软雅黑" w:hint="eastAsia"/>
          <w:sz w:val="21"/>
          <w:szCs w:val="21"/>
        </w:rPr>
        <w:t>新</w:t>
      </w:r>
      <w:r w:rsidRPr="000D6896">
        <w:rPr>
          <w:rFonts w:ascii="微软雅黑" w:eastAsia="微软雅黑" w:hAnsi="微软雅黑"/>
          <w:sz w:val="21"/>
          <w:szCs w:val="21"/>
        </w:rPr>
        <w:t xml:space="preserve">B.zero1Rock系列珠宝、BVLGARI X alexander wang限量款联名手袋、BVLGARI </w:t>
      </w:r>
      <w:proofErr w:type="spellStart"/>
      <w:r w:rsidRPr="000D6896">
        <w:rPr>
          <w:rFonts w:ascii="微软雅黑" w:eastAsia="微软雅黑" w:hAnsi="微软雅黑"/>
          <w:sz w:val="21"/>
          <w:szCs w:val="21"/>
        </w:rPr>
        <w:t>BVLGARI</w:t>
      </w:r>
      <w:proofErr w:type="spellEnd"/>
      <w:r w:rsidRPr="000D6896">
        <w:rPr>
          <w:rFonts w:ascii="微软雅黑" w:eastAsia="微软雅黑" w:hAnsi="微软雅黑" w:hint="eastAsia"/>
          <w:sz w:val="21"/>
          <w:szCs w:val="21"/>
        </w:rPr>
        <w:t>系列城市限定款腕表，均于节日前夕售罄。</w:t>
      </w:r>
    </w:p>
    <w:sectPr w:rsidR="00BC7577" w:rsidRPr="002C3779" w:rsidSect="00970C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628BCA" w14:textId="77777777" w:rsidR="00D56DC7" w:rsidRDefault="00D56DC7">
      <w:r>
        <w:separator/>
      </w:r>
    </w:p>
  </w:endnote>
  <w:endnote w:type="continuationSeparator" w:id="0">
    <w:p w14:paraId="7612C57B" w14:textId="77777777" w:rsidR="00D56DC7" w:rsidRDefault="00D56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E15526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3C8C3785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637DF2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E39B5B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CF424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24836F" w14:textId="77777777" w:rsidR="00D56DC7" w:rsidRDefault="00D56DC7">
      <w:r>
        <w:separator/>
      </w:r>
    </w:p>
  </w:footnote>
  <w:footnote w:type="continuationSeparator" w:id="0">
    <w:p w14:paraId="2BD2981B" w14:textId="77777777" w:rsidR="00D56DC7" w:rsidRDefault="00D56D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72EB1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D7838E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0EB00C8E" wp14:editId="12DE4FCC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9E5715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896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1D34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3779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21F3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141F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26C1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1A3C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82120"/>
    <w:rsid w:val="00C925D6"/>
    <w:rsid w:val="00C93159"/>
    <w:rsid w:val="00C96025"/>
    <w:rsid w:val="00CA397B"/>
    <w:rsid w:val="00CA426C"/>
    <w:rsid w:val="00CB2251"/>
    <w:rsid w:val="00CB26CB"/>
    <w:rsid w:val="00CB2938"/>
    <w:rsid w:val="00CB29C6"/>
    <w:rsid w:val="00CB44C5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56DC7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233E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2F2F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3705D"/>
    <w:rsid w:val="00F4008B"/>
    <w:rsid w:val="00F41E61"/>
    <w:rsid w:val="00F503C8"/>
    <w:rsid w:val="00F56689"/>
    <w:rsid w:val="00F7615F"/>
    <w:rsid w:val="00F821BF"/>
    <w:rsid w:val="00F82AC0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0FF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8EF990B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495317B-A207-4276-8BE7-BA3103634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3</Pages>
  <Words>147</Words>
  <Characters>841</Characters>
  <Application>Microsoft Office Word</Application>
  <DocSecurity>0</DocSecurity>
  <PresentationFormat/>
  <Lines>7</Lines>
  <Paragraphs>1</Paragraphs>
  <Slides>0</Slides>
  <Notes>0</Notes>
  <HiddenSlides>0</HiddenSlides>
  <MMClips>0</MMClips>
  <ScaleCrop>false</ScaleCrop>
  <Company>WWW.YlmF.CoM</Company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</cp:lastModifiedBy>
  <cp:revision>51</cp:revision>
  <cp:lastPrinted>2012-10-11T08:46:00Z</cp:lastPrinted>
  <dcterms:created xsi:type="dcterms:W3CDTF">2015-11-23T07:28:00Z</dcterms:created>
  <dcterms:modified xsi:type="dcterms:W3CDTF">2021-02-23T03:38:00Z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