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hint="eastAsia" w:ascii="微软雅黑" w:hAnsi="微软雅黑" w:eastAsia="微软雅黑"/>
          <w:b/>
          <w:sz w:val="32"/>
          <w:szCs w:val="32"/>
        </w:rPr>
      </w:pPr>
      <w:bookmarkStart w:id="0" w:name="_GoBack"/>
      <w:bookmarkEnd w:id="0"/>
      <w:r>
        <w:rPr>
          <w:rFonts w:hint="eastAsia" w:ascii="微软雅黑" w:hAnsi="微软雅黑" w:eastAsia="微软雅黑"/>
          <w:b/>
          <w:sz w:val="32"/>
          <w:szCs w:val="32"/>
        </w:rPr>
        <w:t>旺旺</w:t>
      </w:r>
      <w:r>
        <w:rPr>
          <w:rFonts w:hint="eastAsia" w:ascii="微软雅黑" w:hAnsi="微软雅黑" w:eastAsia="微软雅黑"/>
          <w:b/>
          <w:sz w:val="32"/>
          <w:szCs w:val="32"/>
          <w:lang w:val="en-US" w:eastAsia="zh-CN"/>
        </w:rPr>
        <w:t>×</w:t>
      </w:r>
      <w:r>
        <w:rPr>
          <w:rFonts w:hint="eastAsia" w:ascii="微软雅黑" w:hAnsi="微软雅黑" w:eastAsia="微软雅黑"/>
          <w:b/>
          <w:sz w:val="32"/>
          <w:szCs w:val="32"/>
        </w:rPr>
        <w:t>《她的微笑像颗糖》网剧植入联合营销</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旺旺集团</w:t>
      </w:r>
    </w:p>
    <w:p>
      <w:pPr>
        <w:textAlignment w:val="baseline"/>
        <w:rPr>
          <w:rFonts w:hint="eastAsia" w:ascii="微软雅黑" w:hAnsi="微软雅黑" w:eastAsia="微软雅黑"/>
          <w:sz w:val="21"/>
          <w:szCs w:val="21"/>
          <w:lang w:val="en-US" w:eastAsia="zh-Hans"/>
        </w:rPr>
      </w:pPr>
      <w:r>
        <w:rPr>
          <w:rFonts w:hint="eastAsia" w:ascii="微软雅黑" w:hAnsi="微软雅黑" w:eastAsia="微软雅黑"/>
          <w:b/>
          <w:sz w:val="21"/>
          <w:szCs w:val="21"/>
        </w:rPr>
        <w:t>所属行业：</w:t>
      </w:r>
      <w:r>
        <w:rPr>
          <w:rFonts w:hint="eastAsia" w:ascii="微软雅黑" w:hAnsi="微软雅黑" w:eastAsia="微软雅黑"/>
          <w:sz w:val="21"/>
          <w:szCs w:val="21"/>
        </w:rPr>
        <w:t>食品</w:t>
      </w:r>
      <w:r>
        <w:rPr>
          <w:rFonts w:hint="eastAsia" w:ascii="微软雅黑" w:hAnsi="微软雅黑" w:eastAsia="微软雅黑"/>
          <w:sz w:val="21"/>
          <w:szCs w:val="21"/>
          <w:lang w:val="en-US" w:eastAsia="zh-Hans"/>
        </w:rPr>
        <w:t>饮料</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ascii="微软雅黑" w:hAnsi="微软雅黑" w:eastAsia="微软雅黑"/>
          <w:sz w:val="21"/>
          <w:szCs w:val="21"/>
        </w:rPr>
        <w:t>2020.0</w:t>
      </w:r>
      <w:r>
        <w:rPr>
          <w:rFonts w:hint="eastAsia" w:ascii="微软雅黑" w:hAnsi="微软雅黑" w:eastAsia="微软雅黑"/>
          <w:sz w:val="21"/>
          <w:szCs w:val="21"/>
        </w:rPr>
        <w:t>8</w:t>
      </w:r>
      <w:r>
        <w:rPr>
          <w:rFonts w:ascii="微软雅黑" w:hAnsi="微软雅黑" w:eastAsia="微软雅黑"/>
          <w:sz w:val="21"/>
          <w:szCs w:val="21"/>
        </w:rPr>
        <w:t>.</w:t>
      </w:r>
      <w:r>
        <w:rPr>
          <w:rFonts w:hint="eastAsia" w:ascii="微软雅黑" w:hAnsi="微软雅黑" w:eastAsia="微软雅黑"/>
          <w:sz w:val="21"/>
          <w:szCs w:val="21"/>
        </w:rPr>
        <w:t>25</w:t>
      </w:r>
      <w:r>
        <w:rPr>
          <w:rFonts w:ascii="微软雅黑" w:hAnsi="微软雅黑" w:eastAsia="微软雅黑"/>
          <w:sz w:val="21"/>
          <w:szCs w:val="21"/>
        </w:rPr>
        <w:t>-</w:t>
      </w:r>
      <w:r>
        <w:rPr>
          <w:rFonts w:hint="eastAsia" w:ascii="微软雅黑" w:hAnsi="微软雅黑" w:eastAsia="微软雅黑"/>
          <w:sz w:val="21"/>
          <w:szCs w:val="21"/>
        </w:rPr>
        <w:t>11</w:t>
      </w:r>
      <w:r>
        <w:rPr>
          <w:rFonts w:ascii="微软雅黑" w:hAnsi="微软雅黑" w:eastAsia="微软雅黑"/>
          <w:sz w:val="21"/>
          <w:szCs w:val="21"/>
        </w:rPr>
        <w:t>.</w:t>
      </w:r>
      <w:r>
        <w:rPr>
          <w:rFonts w:hint="eastAsia" w:ascii="微软雅黑" w:hAnsi="微软雅黑" w:eastAsia="微软雅黑"/>
          <w:sz w:val="21"/>
          <w:szCs w:val="21"/>
        </w:rPr>
        <w:t>28</w:t>
      </w:r>
    </w:p>
    <w:p>
      <w:pPr>
        <w:spacing w:after="240"/>
        <w:textAlignment w:val="baseline"/>
        <w:rPr>
          <w:rFonts w:hint="eastAsia" w:ascii="微软雅黑" w:hAnsi="微软雅黑" w:eastAsia="微软雅黑"/>
          <w:sz w:val="21"/>
          <w:szCs w:val="21"/>
          <w:lang w:val="en-US" w:eastAsia="zh-CN"/>
        </w:rPr>
      </w:pPr>
      <w:r>
        <w:rPr>
          <w:rFonts w:hint="eastAsia" w:ascii="微软雅黑" w:hAnsi="微软雅黑" w:eastAsia="微软雅黑"/>
          <w:b/>
          <w:sz w:val="21"/>
          <w:szCs w:val="21"/>
        </w:rPr>
        <w:t>参选类别：</w:t>
      </w:r>
      <w:r>
        <w:rPr>
          <w:rFonts w:hint="eastAsia" w:ascii="微软雅黑" w:hAnsi="微软雅黑" w:eastAsia="微软雅黑"/>
          <w:sz w:val="21"/>
          <w:szCs w:val="21"/>
        </w:rPr>
        <w:t>视频节目合作</w:t>
      </w:r>
      <w:r>
        <w:rPr>
          <w:rFonts w:hint="eastAsia" w:ascii="微软雅黑" w:hAnsi="微软雅黑" w:eastAsia="微软雅黑"/>
          <w:sz w:val="21"/>
          <w:szCs w:val="21"/>
          <w:lang w:val="en-US" w:eastAsia="zh-CN"/>
        </w:rPr>
        <w:t>类</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Lines="50" w:beforeAutospacing="1" w:after="100" w:afterAutospacing="1"/>
        <w:ind w:firstLine="0" w:firstLineChars="0"/>
        <w:textAlignment w:val="baseline"/>
        <w:rPr>
          <w:rFonts w:ascii="微软雅黑" w:hAnsi="微软雅黑" w:eastAsia="微软雅黑"/>
          <w:b/>
          <w:sz w:val="21"/>
          <w:szCs w:val="21"/>
        </w:rPr>
      </w:pPr>
      <w:r>
        <w:rPr>
          <w:rFonts w:hint="eastAsia" w:ascii="微软雅黑" w:hAnsi="微软雅黑" w:eastAsia="微软雅黑"/>
          <w:b/>
          <w:sz w:val="21"/>
          <w:szCs w:val="21"/>
        </w:rPr>
        <w:t>一、品牌传播及营销背景介绍</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近两年影视行业进入寒冬期，2020年加上疫情影响，在大制作长剧集排播档期无法确定的大环境下，亦会影响品牌宣传周期及植入合作的投入意向，不少影视公司纷纷选择求稳步伐，反应在备案上便是，大范围缩减整体剧集集数，无论是当代、古代还是其他题材，</w:t>
      </w:r>
      <w:r>
        <w:rPr>
          <w:rFonts w:ascii="微软雅黑" w:hAnsi="微软雅黑" w:eastAsia="微软雅黑"/>
          <w:color w:val="000000"/>
          <w:sz w:val="21"/>
          <w:szCs w:val="21"/>
        </w:rPr>
        <w:t>24集体量的</w:t>
      </w:r>
      <w:r>
        <w:rPr>
          <w:rFonts w:hint="eastAsia" w:ascii="微软雅黑" w:hAnsi="微软雅黑" w:eastAsia="微软雅黑"/>
          <w:color w:val="000000"/>
          <w:sz w:val="21"/>
          <w:szCs w:val="21"/>
        </w:rPr>
        <w:t>短剧</w:t>
      </w:r>
      <w:r>
        <w:rPr>
          <w:rFonts w:ascii="微软雅黑" w:hAnsi="微软雅黑" w:eastAsia="微软雅黑"/>
          <w:color w:val="000000"/>
          <w:sz w:val="21"/>
          <w:szCs w:val="21"/>
        </w:rPr>
        <w:t>出现频次最多。</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ascii="微软雅黑" w:hAnsi="微软雅黑" w:eastAsia="微软雅黑"/>
          <w:color w:val="000000"/>
          <w:sz w:val="21"/>
          <w:szCs w:val="21"/>
        </w:rPr>
        <w:t>在聚焦的题材内容上，占据大势的都市题材数量再创新高，</w:t>
      </w:r>
      <w:r>
        <w:rPr>
          <w:rFonts w:hint="eastAsia" w:ascii="微软雅黑" w:hAnsi="微软雅黑" w:eastAsia="微软雅黑"/>
          <w:color w:val="000000"/>
          <w:sz w:val="21"/>
          <w:szCs w:val="21"/>
        </w:rPr>
        <w:t>年轻女性用户更青睐甜宠剧类型，纵观优酷宠爱剧场已</w:t>
      </w:r>
      <w:r>
        <w:rPr>
          <w:rFonts w:ascii="微软雅黑" w:hAnsi="微软雅黑" w:eastAsia="微软雅黑"/>
          <w:color w:val="000000"/>
          <w:sz w:val="21"/>
          <w:szCs w:val="21"/>
        </w:rPr>
        <w:t>上线的剧集，中小体量、新生代演员主演的作品占很大篇幅</w:t>
      </w:r>
      <w:r>
        <w:rPr>
          <w:rFonts w:hint="eastAsia" w:ascii="微软雅黑" w:hAnsi="微软雅黑" w:eastAsia="微软雅黑"/>
          <w:color w:val="000000"/>
          <w:sz w:val="21"/>
          <w:szCs w:val="21"/>
        </w:rPr>
        <w:t>，</w:t>
      </w:r>
      <w:r>
        <w:rPr>
          <w:rFonts w:ascii="微软雅黑" w:hAnsi="微软雅黑" w:eastAsia="微软雅黑"/>
          <w:color w:val="000000"/>
          <w:sz w:val="21"/>
          <w:szCs w:val="21"/>
        </w:rPr>
        <w:t>通过微博讨论、抖音剪辑等UGC内容更是让剧集再次发酵，“剧带人”体现得尤为明显。</w:t>
      </w:r>
      <w:r>
        <w:rPr>
          <w:rFonts w:hint="eastAsia" w:ascii="微软雅黑" w:hAnsi="微软雅黑" w:eastAsia="微软雅黑"/>
          <w:color w:val="000000"/>
          <w:sz w:val="21"/>
          <w:szCs w:val="21"/>
        </w:rPr>
        <w:t>值得注意的是，宠爱剧场上线的剧集作品拉拢了一批更圈层化、黏度更强的用户，借由此类“短频快”且投入小的剧集，进行产品曝光亦是一种颇具性价比的尝试。</w:t>
      </w:r>
    </w:p>
    <w:p>
      <w:pPr>
        <w:keepNext w:val="0"/>
        <w:keepLines w:val="0"/>
        <w:pageBreakBefore w:val="0"/>
        <w:kinsoku/>
        <w:wordWrap/>
        <w:overflowPunct/>
        <w:topLinePunct w:val="0"/>
        <w:autoSpaceDE/>
        <w:autoSpaceDN/>
        <w:bidi w:val="0"/>
        <w:adjustRightInd/>
        <w:snapToGrid/>
        <w:spacing w:before="100" w:beforeLines="50" w:beforeAutospacing="1" w:after="100" w:afterAutospacing="1"/>
        <w:ind w:firstLine="0" w:firstLineChars="0"/>
        <w:textAlignment w:val="baseline"/>
        <w:rPr>
          <w:rFonts w:ascii="微软雅黑" w:hAnsi="微软雅黑" w:eastAsia="微软雅黑"/>
          <w:b/>
          <w:sz w:val="21"/>
          <w:szCs w:val="21"/>
        </w:rPr>
      </w:pPr>
      <w:r>
        <w:rPr>
          <w:rFonts w:hint="eastAsia" w:ascii="微软雅黑" w:hAnsi="微软雅黑" w:eastAsia="微软雅黑"/>
          <w:b/>
          <w:sz w:val="21"/>
          <w:szCs w:val="21"/>
        </w:rPr>
        <w:t>二、面临的营销困境及挑战</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在短视频的冲击下，长视频剧集的发展状况一度令人焦虑，尤其是疫情影响，使</w:t>
      </w:r>
      <w:r>
        <w:rPr>
          <w:rFonts w:ascii="微软雅黑" w:hAnsi="微软雅黑" w:eastAsia="微软雅黑"/>
          <w:color w:val="000000"/>
          <w:sz w:val="21"/>
          <w:szCs w:val="21"/>
        </w:rPr>
        <w:t>2020年成为了有史以来影视行业最动荡的一年。相比耗费巨资而无力回本的大制作项目，在这样严峻的市场之中，“小而美”的网剧反而迎来了发展机遇。</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品牌在选择植入剧集项目，场景设定如何不引起观众的不适感，是确认合作前非常关键的考量，包含人物设定与产品调性表达方式的契合度，如能贯穿剧情主线来巧妙呈现品牌或产品露出，从情感线出发牵动进而强化观众记忆度是最为完整的传播宣传方式。</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widowControl w:val="0"/>
        <w:kinsoku/>
        <w:wordWrap/>
        <w:overflowPunct/>
        <w:topLinePunct w:val="0"/>
        <w:autoSpaceDE/>
        <w:autoSpaceDN/>
        <w:bidi w:val="0"/>
        <w:adjustRightInd/>
        <w:snapToGrid/>
        <w:spacing w:before="100" w:beforeLines="50" w:beforeAutospacing="1" w:after="100" w:afterAutospacing="1"/>
        <w:ind w:firstLine="0" w:firstLineChars="0"/>
        <w:jc w:val="both"/>
        <w:textAlignment w:val="baseline"/>
        <w:rPr>
          <w:rFonts w:ascii="微软雅黑" w:hAnsi="微软雅黑" w:eastAsia="微软雅黑" w:cs="Times New Roman"/>
          <w:b/>
          <w:kern w:val="2"/>
          <w:sz w:val="21"/>
          <w:szCs w:val="21"/>
        </w:rPr>
      </w:pPr>
      <w:r>
        <w:rPr>
          <w:rFonts w:ascii="微软雅黑" w:hAnsi="微软雅黑" w:eastAsia="微软雅黑" w:cs="微软雅黑"/>
          <w:b/>
          <w:kern w:val="2"/>
          <w:sz w:val="21"/>
          <w:szCs w:val="21"/>
          <w:lang w:val="zh-CN"/>
        </w:rPr>
        <w:t>一、预期目标</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随着小成本、全新人、国产青春题材的甜宠网剧热播趋势，旺旺集团选择与IP漫改网剧《她的微笑像颗糖》合作，以高中生活为整体故事背景，设定“旺仔牛奶糖”作为解锁男女主角情感升温的重要信物，“吃糖”、“追剧”以轻松甜蜜的感觉，来唤醒观众对产品牛奶糖的记忆，在剧中的校园场景也同时会有浪味仙及小小酥作为课间休闲零食露出。</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《她的微笑像颗糖》</w:t>
      </w:r>
      <w:r>
        <w:rPr>
          <w:rFonts w:ascii="微软雅黑" w:hAnsi="微软雅黑" w:eastAsia="微软雅黑"/>
          <w:color w:val="000000"/>
          <w:sz w:val="21"/>
          <w:szCs w:val="21"/>
        </w:rPr>
        <w:t>IP小说</w:t>
      </w:r>
      <w:r>
        <w:rPr>
          <w:rFonts w:hint="eastAsia" w:ascii="微软雅黑" w:hAnsi="微软雅黑" w:eastAsia="微软雅黑"/>
          <w:color w:val="000000"/>
          <w:sz w:val="21"/>
          <w:szCs w:val="21"/>
        </w:rPr>
        <w:t>及</w:t>
      </w:r>
      <w:r>
        <w:rPr>
          <w:rFonts w:ascii="微软雅黑" w:hAnsi="微软雅黑" w:eastAsia="微软雅黑"/>
          <w:color w:val="000000"/>
          <w:sz w:val="21"/>
          <w:szCs w:val="21"/>
        </w:rPr>
        <w:t>漫画/动画</w:t>
      </w:r>
      <w:r>
        <w:rPr>
          <w:rFonts w:hint="eastAsia" w:ascii="微软雅黑" w:hAnsi="微软雅黑" w:eastAsia="微软雅黑"/>
          <w:color w:val="000000"/>
          <w:sz w:val="21"/>
          <w:szCs w:val="21"/>
        </w:rPr>
        <w:t>连载</w:t>
      </w:r>
      <w:r>
        <w:rPr>
          <w:rFonts w:ascii="微软雅黑" w:hAnsi="微软雅黑" w:eastAsia="微软雅黑"/>
          <w:color w:val="000000"/>
          <w:sz w:val="21"/>
          <w:szCs w:val="21"/>
        </w:rPr>
        <w:t>，</w:t>
      </w:r>
      <w:r>
        <w:rPr>
          <w:rFonts w:hint="eastAsia" w:ascii="微软雅黑" w:hAnsi="微软雅黑" w:eastAsia="微软雅黑"/>
          <w:color w:val="000000"/>
          <w:sz w:val="21"/>
          <w:szCs w:val="21"/>
        </w:rPr>
        <w:t>在24集真人剧开拍前，</w:t>
      </w:r>
      <w:r>
        <w:rPr>
          <w:rFonts w:ascii="微软雅黑" w:hAnsi="微软雅黑" w:eastAsia="微软雅黑"/>
          <w:color w:val="000000"/>
          <w:sz w:val="21"/>
          <w:szCs w:val="21"/>
        </w:rPr>
        <w:t>全网</w:t>
      </w:r>
      <w:r>
        <w:rPr>
          <w:rFonts w:hint="eastAsia" w:ascii="微软雅黑" w:hAnsi="微软雅黑" w:eastAsia="微软雅黑"/>
          <w:color w:val="000000"/>
          <w:sz w:val="21"/>
          <w:szCs w:val="21"/>
        </w:rPr>
        <w:t>已累计</w:t>
      </w:r>
      <w:r>
        <w:rPr>
          <w:rFonts w:ascii="微软雅黑" w:hAnsi="微软雅黑" w:eastAsia="微软雅黑"/>
          <w:color w:val="000000"/>
          <w:sz w:val="21"/>
          <w:szCs w:val="21"/>
        </w:rPr>
        <w:t>人气约26亿</w:t>
      </w:r>
      <w:r>
        <w:rPr>
          <w:rFonts w:hint="eastAsia" w:ascii="微软雅黑" w:hAnsi="微软雅黑" w:eastAsia="微软雅黑"/>
          <w:color w:val="000000"/>
          <w:sz w:val="21"/>
          <w:szCs w:val="21"/>
        </w:rPr>
        <w:t>，主要</w:t>
      </w:r>
      <w:r>
        <w:rPr>
          <w:rFonts w:ascii="微软雅黑" w:hAnsi="微软雅黑" w:eastAsia="微软雅黑"/>
          <w:color w:val="000000"/>
          <w:sz w:val="21"/>
          <w:szCs w:val="21"/>
        </w:rPr>
        <w:t>目标人群</w:t>
      </w:r>
      <w:r>
        <w:rPr>
          <w:rFonts w:hint="eastAsia" w:ascii="微软雅黑" w:hAnsi="微软雅黑" w:eastAsia="微软雅黑"/>
          <w:color w:val="000000"/>
          <w:sz w:val="21"/>
          <w:szCs w:val="21"/>
        </w:rPr>
        <w:t>为</w:t>
      </w:r>
      <w:r>
        <w:rPr>
          <w:rFonts w:ascii="微软雅黑" w:hAnsi="微软雅黑" w:eastAsia="微软雅黑"/>
          <w:color w:val="000000"/>
          <w:sz w:val="21"/>
          <w:szCs w:val="21"/>
        </w:rPr>
        <w:t>18-35岁女性</w:t>
      </w:r>
      <w:r>
        <w:rPr>
          <w:rFonts w:hint="eastAsia" w:ascii="微软雅黑" w:hAnsi="微软雅黑" w:eastAsia="微软雅黑"/>
          <w:color w:val="000000"/>
          <w:sz w:val="21"/>
          <w:szCs w:val="21"/>
        </w:rPr>
        <w:t>，与“旺仔牛奶糖”希望触及消费的“她”人群吻合</w:t>
      </w:r>
      <w:r>
        <w:rPr>
          <w:rFonts w:hint="eastAsia" w:ascii="微软雅黑" w:hAnsi="微软雅黑" w:eastAsia="微软雅黑" w:cs="Times New Roman"/>
          <w:kern w:val="2"/>
          <w:sz w:val="21"/>
          <w:szCs w:val="21"/>
        </w:rPr>
        <w:t>，借势剧集播出期间的联合营销宣传，让产品重新赢得关注。</w:t>
      </w:r>
    </w:p>
    <w:p>
      <w:pPr>
        <w:keepNext w:val="0"/>
        <w:keepLines w:val="0"/>
        <w:pageBreakBefore w:val="0"/>
        <w:widowControl w:val="0"/>
        <w:kinsoku/>
        <w:wordWrap/>
        <w:overflowPunct/>
        <w:topLinePunct w:val="0"/>
        <w:autoSpaceDE/>
        <w:autoSpaceDN/>
        <w:bidi w:val="0"/>
        <w:adjustRightInd/>
        <w:snapToGrid/>
        <w:spacing w:before="100" w:beforeLines="50" w:beforeAutospacing="1" w:after="100" w:afterAutospacing="1"/>
        <w:ind w:firstLine="0" w:firstLineChars="0"/>
        <w:jc w:val="both"/>
        <w:textAlignment w:val="baseline"/>
        <w:rPr>
          <w:rFonts w:ascii="微软雅黑" w:hAnsi="微软雅黑" w:eastAsia="微软雅黑" w:cs="微软雅黑"/>
          <w:b/>
          <w:kern w:val="2"/>
          <w:sz w:val="21"/>
          <w:szCs w:val="21"/>
          <w:lang w:val="zh-CN"/>
        </w:rPr>
      </w:pPr>
      <w:r>
        <w:rPr>
          <w:rFonts w:ascii="微软雅黑" w:hAnsi="微软雅黑" w:eastAsia="微软雅黑" w:cs="微软雅黑"/>
          <w:b/>
          <w:kern w:val="2"/>
          <w:sz w:val="21"/>
          <w:szCs w:val="21"/>
          <w:lang w:val="zh-CN"/>
        </w:rPr>
        <w:t>二、整体目标</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自动贩售机作为一种传播范围极广的移动媒介，本身具备广告平台的属性，精准定位核心消费者的偏好同步也完成媒体与渠道的整合。</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将所有带着“旺仔牛奶糖”镜头的高甜剧情，混剪成“剧情小广告”，当消费者身处人流量大的商业中心或车站即可看到品牌投放的植入视频内容、以最直观的广告形式“看到就能买到”，立即实现销售转化。当消费者站立自动售货机前，屏幕广告引发关注，</w:t>
      </w:r>
      <w:r>
        <w:rPr>
          <w:rFonts w:ascii="微软雅黑" w:hAnsi="微软雅黑" w:eastAsia="微软雅黑"/>
          <w:color w:val="000000"/>
          <w:sz w:val="21"/>
          <w:szCs w:val="21"/>
        </w:rPr>
        <w:t>24小时循环播放，生动展示品牌产品，达到更加深入的营销效果</w:t>
      </w:r>
      <w:r>
        <w:rPr>
          <w:rFonts w:hint="eastAsia" w:ascii="微软雅黑" w:hAnsi="微软雅黑" w:eastAsia="微软雅黑"/>
          <w:color w:val="000000"/>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基于休闲消费新时代来临，旺旺以自身在中国快消食品行业50多年的经验与优势，成立自动贩售机运营中心，通过高智能系统和云平台，为传统自动售货机注入新技术，在全国各地投放智能售货机，让旺旺优质产品深入至每位消费者心中。</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案例的最大亮点在于触动消费者驻足停留后观剧后的“甜蜜”心情，增加带入感，进而联动贩售机产品销售。</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s="Times New Roman"/>
          <w:kern w:val="2"/>
          <w:sz w:val="21"/>
          <w:szCs w:val="20"/>
          <w:lang w:eastAsia="zh-CN"/>
        </w:rPr>
      </w:pPr>
      <w:r>
        <w:rPr>
          <w:rFonts w:hint="eastAsia" w:ascii="微软雅黑" w:hAnsi="微软雅黑" w:eastAsia="微软雅黑" w:cs="Times New Roman"/>
          <w:kern w:val="2"/>
          <w:sz w:val="21"/>
          <w:szCs w:val="20"/>
          <w:lang w:eastAsia="zh-CN"/>
        </w:rPr>
        <w:drawing>
          <wp:inline distT="0" distB="0" distL="114300" distR="114300">
            <wp:extent cx="2880360" cy="2161540"/>
            <wp:effectExtent l="0" t="0" r="2540" b="1016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2880360" cy="21615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Lines="50" w:beforeAutospacing="1" w:after="100" w:afterAutospacing="1"/>
        <w:ind w:firstLine="0" w:firstLineChars="0"/>
        <w:jc w:val="both"/>
        <w:textAlignment w:val="baseline"/>
        <w:rPr>
          <w:rFonts w:ascii="微软雅黑" w:hAnsi="微软雅黑" w:eastAsia="微软雅黑" w:cs="微软雅黑"/>
          <w:b w:val="0"/>
          <w:bCs/>
          <w:kern w:val="2"/>
          <w:sz w:val="21"/>
          <w:szCs w:val="20"/>
          <w:lang w:val="zh-CN"/>
        </w:rPr>
      </w:pPr>
      <w:r>
        <w:rPr>
          <w:rFonts w:hint="eastAsia" w:ascii="微软雅黑" w:hAnsi="微软雅黑" w:eastAsia="微软雅黑" w:cs="微软雅黑"/>
          <w:b w:val="0"/>
          <w:bCs/>
          <w:kern w:val="2"/>
          <w:sz w:val="21"/>
          <w:szCs w:val="20"/>
          <w:lang w:val="zh-CN"/>
        </w:rPr>
        <w:t>她的微笑像颗糖-喂糖篇</w:t>
      </w:r>
      <w:r>
        <w:rPr>
          <w:rFonts w:hint="eastAsia" w:ascii="微软雅黑" w:hAnsi="微软雅黑" w:eastAsia="微软雅黑" w:cs="微软雅黑"/>
          <w:b w:val="0"/>
          <w:bCs/>
          <w:kern w:val="2"/>
          <w:sz w:val="21"/>
          <w:szCs w:val="20"/>
          <w:lang w:val="en-US" w:eastAsia="zh-CN"/>
        </w:rPr>
        <w:t xml:space="preserve"> </w:t>
      </w:r>
      <w:r>
        <w:rPr>
          <w:rFonts w:hint="eastAsia" w:ascii="微软雅黑" w:hAnsi="微软雅黑" w:eastAsia="微软雅黑" w:cs="微软雅黑"/>
          <w:b w:val="0"/>
          <w:bCs/>
          <w:kern w:val="2"/>
          <w:sz w:val="21"/>
          <w:szCs w:val="20"/>
          <w:lang w:val="zh-CN"/>
        </w:rPr>
        <w:t>视频链接：</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fldChar w:fldCharType="begin"/>
      </w:r>
      <w:r>
        <w:rPr>
          <w:rFonts w:ascii="微软雅黑" w:hAnsi="微软雅黑" w:eastAsia="微软雅黑" w:cs="Times New Roman"/>
          <w:kern w:val="2"/>
          <w:sz w:val="21"/>
          <w:szCs w:val="20"/>
        </w:rPr>
        <w:instrText xml:space="preserve"> HYPERLINK "https://v.youku.com/v_show/id_XNTA2MzE0Mjc4MA==.html?spm=a2hcb.playlsit.page.1" </w:instrText>
      </w:r>
      <w:r>
        <w:rPr>
          <w:rFonts w:ascii="微软雅黑" w:hAnsi="微软雅黑" w:eastAsia="微软雅黑" w:cs="Times New Roman"/>
          <w:kern w:val="2"/>
          <w:sz w:val="21"/>
          <w:szCs w:val="20"/>
        </w:rPr>
        <w:fldChar w:fldCharType="separate"/>
      </w:r>
      <w:r>
        <w:rPr>
          <w:rStyle w:val="16"/>
          <w:rFonts w:ascii="微软雅黑" w:hAnsi="微软雅黑" w:eastAsia="微软雅黑" w:cs="Times New Roman"/>
          <w:kern w:val="2"/>
          <w:sz w:val="21"/>
          <w:szCs w:val="20"/>
        </w:rPr>
        <w:t>https://v.youku.com/v_show/id_XNTA2MzE0Mjc4MA==.html?spm=a2hcb.playlsit.page.1</w:t>
      </w:r>
      <w:r>
        <w:rPr>
          <w:rFonts w:ascii="微软雅黑" w:hAnsi="微软雅黑" w:eastAsia="微软雅黑" w:cs="Times New Roman"/>
          <w:kern w:val="2"/>
          <w:sz w:val="21"/>
          <w:szCs w:val="20"/>
        </w:rPr>
        <w:fldChar w:fldCharType="end"/>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widowControl w:val="0"/>
        <w:kinsoku/>
        <w:wordWrap/>
        <w:overflowPunct/>
        <w:topLinePunct w:val="0"/>
        <w:autoSpaceDE/>
        <w:autoSpaceDN/>
        <w:bidi w:val="0"/>
        <w:adjustRightInd/>
        <w:snapToGrid/>
        <w:spacing w:before="100" w:beforeLines="50" w:beforeAutospacing="1" w:after="100" w:afterAutospacing="1"/>
        <w:ind w:firstLine="0" w:firstLineChars="0"/>
        <w:jc w:val="both"/>
        <w:textAlignment w:val="baseline"/>
        <w:rPr>
          <w:rFonts w:ascii="微软雅黑" w:hAnsi="微软雅黑" w:eastAsia="微软雅黑" w:cs="微软雅黑"/>
          <w:b/>
          <w:kern w:val="2"/>
          <w:sz w:val="21"/>
          <w:szCs w:val="20"/>
          <w:lang w:val="zh-CN"/>
        </w:rPr>
      </w:pPr>
      <w:r>
        <w:rPr>
          <w:rFonts w:hint="eastAsia" w:ascii="微软雅黑" w:hAnsi="微软雅黑" w:eastAsia="微软雅黑" w:cs="微软雅黑"/>
          <w:b/>
          <w:kern w:val="2"/>
          <w:sz w:val="21"/>
          <w:szCs w:val="20"/>
          <w:lang w:val="zh-CN"/>
        </w:rPr>
        <w:t>前期宣推：</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hint="eastAsia" w:ascii="微软雅黑" w:hAnsi="微软雅黑" w:eastAsia="微软雅黑" w:cs="Times New Roman"/>
          <w:kern w:val="2"/>
          <w:sz w:val="21"/>
          <w:szCs w:val="20"/>
        </w:rPr>
        <w:t>8月25日，七夕当天抖音</w:t>
      </w:r>
      <w:r>
        <w:rPr>
          <w:rFonts w:hint="eastAsia" w:cs="Times New Roman"/>
          <w:kern w:val="2"/>
          <w:sz w:val="21"/>
          <w:szCs w:val="20"/>
        </w:rPr>
        <w:t>【</w:t>
      </w:r>
      <w:r>
        <w:rPr>
          <w:rFonts w:hint="eastAsia" w:ascii="微软雅黑" w:hAnsi="微软雅黑" w:eastAsia="微软雅黑" w:cs="Times New Roman"/>
          <w:kern w:val="2"/>
          <w:sz w:val="21"/>
          <w:szCs w:val="20"/>
        </w:rPr>
        <w:t>她的微笑像颗糖】官方账号发布#隔空投送#传递爱#撒糖小视频，迅速引发热议。</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s="Times New Roman"/>
          <w:kern w:val="2"/>
          <w:sz w:val="21"/>
          <w:szCs w:val="20"/>
          <w:lang w:eastAsia="zh-CN"/>
        </w:rPr>
      </w:pPr>
      <w:r>
        <w:rPr>
          <w:rFonts w:hint="eastAsia" w:ascii="微软雅黑" w:hAnsi="微软雅黑" w:eastAsia="微软雅黑" w:cs="Times New Roman"/>
          <w:kern w:val="2"/>
          <w:sz w:val="21"/>
          <w:szCs w:val="20"/>
          <w:lang w:eastAsia="zh-CN"/>
        </w:rPr>
        <w:drawing>
          <wp:inline distT="0" distB="0" distL="114300" distR="114300">
            <wp:extent cx="4724400" cy="4797425"/>
            <wp:effectExtent l="0" t="0" r="0" b="317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8"/>
                    <a:stretch>
                      <a:fillRect/>
                    </a:stretch>
                  </pic:blipFill>
                  <pic:spPr>
                    <a:xfrm>
                      <a:off x="0" y="0"/>
                      <a:ext cx="4724400" cy="4797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Lines="50" w:beforeAutospacing="1" w:after="100" w:afterAutospacing="1"/>
        <w:ind w:firstLine="0" w:firstLineChars="0"/>
        <w:jc w:val="both"/>
        <w:textAlignment w:val="baseline"/>
        <w:rPr>
          <w:rFonts w:ascii="微软雅黑" w:hAnsi="微软雅黑" w:eastAsia="微软雅黑" w:cs="微软雅黑"/>
          <w:b/>
          <w:kern w:val="2"/>
          <w:sz w:val="21"/>
          <w:szCs w:val="20"/>
          <w:lang w:val="zh-CN"/>
        </w:rPr>
      </w:pPr>
      <w:r>
        <w:rPr>
          <w:rFonts w:hint="eastAsia" w:ascii="微软雅黑" w:hAnsi="微软雅黑" w:eastAsia="微软雅黑" w:cs="微软雅黑"/>
          <w:b/>
          <w:kern w:val="2"/>
          <w:sz w:val="21"/>
          <w:szCs w:val="20"/>
          <w:lang w:val="zh-CN"/>
        </w:rPr>
        <w:t>正式上线：</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10</w:t>
      </w:r>
      <w:r>
        <w:rPr>
          <w:rFonts w:hint="eastAsia" w:ascii="微软雅黑" w:hAnsi="微软雅黑" w:eastAsia="微软雅黑" w:cs="Times New Roman"/>
          <w:kern w:val="2"/>
          <w:sz w:val="21"/>
          <w:szCs w:val="20"/>
          <w:lang w:val="en-US" w:eastAsia="zh-CN"/>
        </w:rPr>
        <w:t>月</w:t>
      </w:r>
      <w:r>
        <w:rPr>
          <w:rFonts w:ascii="微软雅黑" w:hAnsi="微软雅黑" w:eastAsia="微软雅黑" w:cs="Times New Roman"/>
          <w:kern w:val="2"/>
          <w:sz w:val="21"/>
          <w:szCs w:val="20"/>
        </w:rPr>
        <w:t>22</w:t>
      </w:r>
      <w:r>
        <w:rPr>
          <w:rFonts w:hint="eastAsia" w:ascii="微软雅黑" w:hAnsi="微软雅黑" w:eastAsia="微软雅黑" w:cs="Times New Roman"/>
          <w:kern w:val="2"/>
          <w:sz w:val="21"/>
          <w:szCs w:val="20"/>
          <w:lang w:val="en-US" w:eastAsia="zh-CN"/>
        </w:rPr>
        <w:t xml:space="preserve">日 </w:t>
      </w:r>
      <w:r>
        <w:rPr>
          <w:rFonts w:ascii="微软雅黑" w:hAnsi="微软雅黑" w:eastAsia="微软雅黑" w:cs="Times New Roman"/>
          <w:kern w:val="2"/>
          <w:sz w:val="21"/>
          <w:szCs w:val="20"/>
        </w:rPr>
        <w:t>优酷上线当天，登优酷短剧热度榜第一，剧集最高热度6410，</w:t>
      </w:r>
      <w:r>
        <w:rPr>
          <w:rFonts w:hint="eastAsia" w:ascii="微软雅黑" w:hAnsi="微软雅黑" w:eastAsia="微软雅黑" w:cs="Times New Roman"/>
          <w:kern w:val="2"/>
          <w:sz w:val="21"/>
          <w:szCs w:val="20"/>
        </w:rPr>
        <w:t>优酷会员剧集榜第二，校园剧热播榜第三，上线</w:t>
      </w:r>
      <w:r>
        <w:rPr>
          <w:rFonts w:ascii="微软雅黑" w:hAnsi="微软雅黑" w:eastAsia="微软雅黑" w:cs="Times New Roman"/>
          <w:kern w:val="2"/>
          <w:sz w:val="21"/>
          <w:szCs w:val="20"/>
        </w:rPr>
        <w:t>两周累计播放2000万+。</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s="Times New Roman"/>
          <w:kern w:val="2"/>
          <w:sz w:val="21"/>
          <w:szCs w:val="20"/>
          <w:lang w:eastAsia="zh-CN"/>
        </w:rPr>
      </w:pPr>
      <w:r>
        <w:rPr>
          <w:rFonts w:hint="eastAsia" w:ascii="微软雅黑" w:hAnsi="微软雅黑" w:eastAsia="微软雅黑" w:cs="Times New Roman"/>
          <w:kern w:val="2"/>
          <w:sz w:val="21"/>
          <w:szCs w:val="20"/>
          <w:lang w:eastAsia="zh-CN"/>
        </w:rPr>
        <w:drawing>
          <wp:inline distT="0" distB="0" distL="114300" distR="114300">
            <wp:extent cx="5041900" cy="1804035"/>
            <wp:effectExtent l="0" t="0" r="0" b="1206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9"/>
                    <a:stretch>
                      <a:fillRect/>
                    </a:stretch>
                  </pic:blipFill>
                  <pic:spPr>
                    <a:xfrm>
                      <a:off x="0" y="0"/>
                      <a:ext cx="5041900" cy="1804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hint="eastAsia" w:ascii="微软雅黑" w:hAnsi="微软雅黑" w:eastAsia="微软雅黑" w:cs="Times New Roman"/>
          <w:kern w:val="2"/>
          <w:sz w:val="21"/>
          <w:szCs w:val="20"/>
          <w:lang w:val="en-US" w:eastAsia="zh-CN"/>
        </w:rPr>
        <w:t>10.</w:t>
      </w:r>
      <w:r>
        <w:rPr>
          <w:rFonts w:ascii="微软雅黑" w:hAnsi="微软雅黑" w:eastAsia="微软雅黑" w:cs="Times New Roman"/>
          <w:kern w:val="2"/>
          <w:sz w:val="21"/>
          <w:szCs w:val="20"/>
        </w:rPr>
        <w:t>23-11</w:t>
      </w:r>
      <w:r>
        <w:rPr>
          <w:rFonts w:hint="eastAsia" w:ascii="微软雅黑" w:hAnsi="微软雅黑" w:eastAsia="微软雅黑" w:cs="Times New Roman"/>
          <w:kern w:val="2"/>
          <w:sz w:val="21"/>
          <w:szCs w:val="20"/>
          <w:lang w:val="en-US" w:eastAsia="zh-CN"/>
        </w:rPr>
        <w:t>.</w:t>
      </w:r>
      <w:r>
        <w:rPr>
          <w:rFonts w:hint="eastAsia" w:ascii="微软雅黑" w:hAnsi="微软雅黑" w:eastAsia="微软雅黑" w:cs="Times New Roman"/>
          <w:kern w:val="2"/>
          <w:sz w:val="21"/>
          <w:szCs w:val="20"/>
        </w:rPr>
        <w:t>3，剧集播出期间</w:t>
      </w:r>
      <w:r>
        <w:rPr>
          <w:rFonts w:ascii="微软雅黑" w:hAnsi="微软雅黑" w:eastAsia="微软雅黑" w:cs="Times New Roman"/>
          <w:kern w:val="2"/>
          <w:sz w:val="21"/>
          <w:szCs w:val="20"/>
        </w:rPr>
        <w:t>#她的微笑像颗糖真人剧#官方微博联合宣传互动11条，点赞436个，评论345条，转发433次，</w:t>
      </w:r>
      <w:r>
        <w:rPr>
          <w:rFonts w:hint="eastAsia" w:ascii="微软雅黑" w:hAnsi="微软雅黑" w:eastAsia="微软雅黑" w:cs="Times New Roman"/>
          <w:kern w:val="2"/>
          <w:sz w:val="21"/>
          <w:szCs w:val="20"/>
        </w:rPr>
        <w:t>总</w:t>
      </w:r>
      <w:r>
        <w:rPr>
          <w:rFonts w:ascii="微软雅黑" w:hAnsi="微软雅黑" w:eastAsia="微软雅黑" w:cs="Times New Roman"/>
          <w:kern w:val="2"/>
          <w:sz w:val="21"/>
          <w:szCs w:val="20"/>
        </w:rPr>
        <w:t>阅读量33.8w+。</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s="Times New Roman"/>
          <w:kern w:val="2"/>
          <w:sz w:val="21"/>
          <w:szCs w:val="20"/>
          <w:lang w:eastAsia="zh-CN"/>
        </w:rPr>
      </w:pPr>
      <w:r>
        <w:rPr>
          <w:rFonts w:hint="eastAsia" w:ascii="微软雅黑" w:hAnsi="微软雅黑" w:eastAsia="微软雅黑" w:cs="Times New Roman"/>
          <w:kern w:val="2"/>
          <w:sz w:val="21"/>
          <w:szCs w:val="20"/>
          <w:lang w:eastAsia="zh-CN"/>
        </w:rPr>
        <w:drawing>
          <wp:inline distT="0" distB="0" distL="114300" distR="114300">
            <wp:extent cx="5050155" cy="2057400"/>
            <wp:effectExtent l="0" t="0" r="4445" b="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0"/>
                    <a:stretch>
                      <a:fillRect/>
                    </a:stretch>
                  </pic:blipFill>
                  <pic:spPr>
                    <a:xfrm>
                      <a:off x="0" y="0"/>
                      <a:ext cx="5050155" cy="2057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10</w:t>
      </w:r>
      <w:r>
        <w:rPr>
          <w:rFonts w:hint="eastAsia" w:ascii="微软雅黑" w:hAnsi="微软雅黑" w:eastAsia="微软雅黑" w:cs="Times New Roman"/>
          <w:kern w:val="2"/>
          <w:sz w:val="21"/>
          <w:szCs w:val="20"/>
          <w:lang w:val="en-US" w:eastAsia="zh-CN"/>
        </w:rPr>
        <w:t>.</w:t>
      </w:r>
      <w:r>
        <w:rPr>
          <w:rFonts w:ascii="微软雅黑" w:hAnsi="微软雅黑" w:eastAsia="微软雅黑" w:cs="Times New Roman"/>
          <w:kern w:val="2"/>
          <w:sz w:val="21"/>
          <w:szCs w:val="20"/>
        </w:rPr>
        <w:t>23-11</w:t>
      </w:r>
      <w:r>
        <w:rPr>
          <w:rFonts w:hint="eastAsia" w:ascii="微软雅黑" w:hAnsi="微软雅黑" w:eastAsia="微软雅黑" w:cs="Times New Roman"/>
          <w:kern w:val="2"/>
          <w:sz w:val="21"/>
          <w:szCs w:val="20"/>
          <w:lang w:val="en-US" w:eastAsia="zh-CN"/>
        </w:rPr>
        <w:t>.</w:t>
      </w:r>
      <w:r>
        <w:rPr>
          <w:rFonts w:hint="eastAsia" w:ascii="微软雅黑" w:hAnsi="微软雅黑" w:eastAsia="微软雅黑" w:cs="Times New Roman"/>
          <w:kern w:val="2"/>
          <w:sz w:val="21"/>
          <w:szCs w:val="20"/>
        </w:rPr>
        <w:t>1</w:t>
      </w:r>
      <w:r>
        <w:rPr>
          <w:rFonts w:ascii="微软雅黑" w:hAnsi="微软雅黑" w:eastAsia="微软雅黑" w:cs="Times New Roman"/>
          <w:kern w:val="2"/>
          <w:sz w:val="21"/>
          <w:szCs w:val="20"/>
        </w:rPr>
        <w:t>3，</w:t>
      </w:r>
      <w:r>
        <w:rPr>
          <w:rFonts w:hint="eastAsia" w:ascii="微软雅黑" w:hAnsi="微软雅黑" w:eastAsia="微软雅黑" w:cs="Times New Roman"/>
          <w:kern w:val="2"/>
          <w:sz w:val="21"/>
          <w:szCs w:val="20"/>
        </w:rPr>
        <w:t>旺旺植入抖音小视频累计播放约</w:t>
      </w:r>
      <w:r>
        <w:rPr>
          <w:rFonts w:ascii="微软雅黑" w:hAnsi="微软雅黑" w:eastAsia="微软雅黑" w:cs="Times New Roman"/>
          <w:kern w:val="2"/>
          <w:sz w:val="21"/>
          <w:szCs w:val="20"/>
        </w:rPr>
        <w:t>200w+，累计点赞4.6w，累计评论1024条，转发312次。完播率30％以上，视频用户集中在牛奶糖关键词互动量高，粉丝属性以21岁以下女性用户为主。</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s="Times New Roman"/>
          <w:kern w:val="2"/>
          <w:sz w:val="21"/>
          <w:szCs w:val="20"/>
          <w:lang w:eastAsia="zh-CN"/>
        </w:rPr>
      </w:pPr>
      <w:r>
        <w:rPr>
          <w:rFonts w:hint="eastAsia" w:ascii="微软雅黑" w:hAnsi="微软雅黑" w:eastAsia="微软雅黑" w:cs="Times New Roman"/>
          <w:kern w:val="2"/>
          <w:sz w:val="21"/>
          <w:szCs w:val="20"/>
          <w:lang w:eastAsia="zh-CN"/>
        </w:rPr>
        <w:drawing>
          <wp:inline distT="0" distB="0" distL="114300" distR="114300">
            <wp:extent cx="5033645" cy="2622550"/>
            <wp:effectExtent l="0" t="0" r="8255" b="635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1"/>
                    <a:stretch>
                      <a:fillRect/>
                    </a:stretch>
                  </pic:blipFill>
                  <pic:spPr>
                    <a:xfrm>
                      <a:off x="0" y="0"/>
                      <a:ext cx="5033645" cy="2622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10</w:t>
      </w:r>
      <w:r>
        <w:rPr>
          <w:rFonts w:hint="eastAsia" w:ascii="微软雅黑" w:hAnsi="微软雅黑" w:eastAsia="微软雅黑" w:cs="Times New Roman"/>
          <w:kern w:val="2"/>
          <w:sz w:val="21"/>
          <w:szCs w:val="20"/>
          <w:lang w:val="en-US" w:eastAsia="zh-CN"/>
        </w:rPr>
        <w:t>.</w:t>
      </w:r>
      <w:r>
        <w:rPr>
          <w:rFonts w:ascii="微软雅黑" w:hAnsi="微软雅黑" w:eastAsia="微软雅黑" w:cs="Times New Roman"/>
          <w:kern w:val="2"/>
          <w:sz w:val="21"/>
          <w:szCs w:val="20"/>
        </w:rPr>
        <w:t>31</w:t>
      </w:r>
      <w:r>
        <w:rPr>
          <w:rFonts w:hint="eastAsia" w:ascii="微软雅黑" w:hAnsi="微软雅黑" w:eastAsia="微软雅黑" w:cs="Times New Roman"/>
          <w:kern w:val="2"/>
          <w:sz w:val="21"/>
          <w:szCs w:val="20"/>
        </w:rPr>
        <w:t>，</w:t>
      </w:r>
      <w:r>
        <w:rPr>
          <w:rFonts w:ascii="微软雅黑" w:hAnsi="微软雅黑" w:eastAsia="微软雅黑" w:cs="Times New Roman"/>
          <w:kern w:val="2"/>
          <w:sz w:val="21"/>
          <w:szCs w:val="20"/>
        </w:rPr>
        <w:t>#她的微笑像颗糖#小小酥漫画番外</w:t>
      </w:r>
      <w:r>
        <w:rPr>
          <w:rFonts w:hint="eastAsia" w:ascii="微软雅黑" w:hAnsi="微软雅黑" w:eastAsia="微软雅黑" w:cs="Times New Roman"/>
          <w:kern w:val="2"/>
          <w:sz w:val="21"/>
          <w:szCs w:val="20"/>
        </w:rPr>
        <w:t>篇</w:t>
      </w:r>
      <w:r>
        <w:rPr>
          <w:rFonts w:ascii="微软雅黑" w:hAnsi="微软雅黑" w:eastAsia="微软雅黑" w:cs="Times New Roman"/>
          <w:kern w:val="2"/>
          <w:sz w:val="21"/>
          <w:szCs w:val="20"/>
        </w:rPr>
        <w:t>定制上线腾讯、看漫画、爱奇艺、有妖气、奇热、B站、漫画岛、掌阅、漫咖等10家平台。</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b/>
          <w:color w:val="0000FF"/>
          <w:sz w:val="28"/>
          <w:lang w:eastAsia="zh-CN"/>
        </w:rPr>
      </w:pPr>
      <w:r>
        <w:rPr>
          <w:rFonts w:hint="eastAsia" w:ascii="微软雅黑" w:hAnsi="微软雅黑" w:eastAsia="微软雅黑"/>
          <w:b/>
          <w:color w:val="0000FF"/>
          <w:sz w:val="28"/>
          <w:lang w:eastAsia="zh-CN"/>
        </w:rPr>
        <w:drawing>
          <wp:inline distT="0" distB="0" distL="114300" distR="114300">
            <wp:extent cx="5041900" cy="3088005"/>
            <wp:effectExtent l="0" t="0" r="0" b="10795"/>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12"/>
                    <a:stretch>
                      <a:fillRect/>
                    </a:stretch>
                  </pic:blipFill>
                  <pic:spPr>
                    <a:xfrm>
                      <a:off x="0" y="0"/>
                      <a:ext cx="5041900" cy="30880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#她的微笑像颗糖#</w:t>
      </w:r>
      <w:r>
        <w:rPr>
          <w:rFonts w:hint="eastAsia" w:ascii="微软雅黑" w:hAnsi="微软雅黑" w:eastAsia="微软雅黑" w:cs="Times New Roman"/>
          <w:kern w:val="2"/>
          <w:sz w:val="21"/>
          <w:szCs w:val="20"/>
        </w:rPr>
        <w:t>小小酥定制番外篇漫动画上线优酷、爱奇艺、快手、头条号、企鹅号、大鱼号、百家号等</w:t>
      </w:r>
      <w:r>
        <w:rPr>
          <w:rFonts w:ascii="微软雅黑" w:hAnsi="微软雅黑" w:eastAsia="微软雅黑" w:cs="Times New Roman"/>
          <w:kern w:val="2"/>
          <w:sz w:val="21"/>
          <w:szCs w:val="20"/>
        </w:rPr>
        <w:t>8家平台，</w:t>
      </w:r>
      <w:r>
        <w:rPr>
          <w:rFonts w:hint="eastAsia" w:ascii="微软雅黑" w:hAnsi="微软雅黑" w:eastAsia="微软雅黑" w:cs="Times New Roman"/>
          <w:kern w:val="2"/>
          <w:sz w:val="21"/>
          <w:szCs w:val="20"/>
        </w:rPr>
        <w:t>爱奇艺单集播放量</w:t>
      </w:r>
      <w:r>
        <w:rPr>
          <w:rFonts w:ascii="微软雅黑" w:hAnsi="微软雅黑" w:eastAsia="微软雅黑" w:cs="Times New Roman"/>
          <w:kern w:val="2"/>
          <w:sz w:val="21"/>
          <w:szCs w:val="20"/>
        </w:rPr>
        <w:t>2w+，快手单集播放量1.5w+。</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s="Times New Roman"/>
          <w:kern w:val="2"/>
          <w:sz w:val="21"/>
          <w:szCs w:val="20"/>
          <w:lang w:eastAsia="zh-CN"/>
        </w:rPr>
      </w:pPr>
      <w:r>
        <w:rPr>
          <w:rFonts w:hint="eastAsia" w:ascii="微软雅黑" w:hAnsi="微软雅黑" w:eastAsia="微软雅黑" w:cs="Times New Roman"/>
          <w:kern w:val="2"/>
          <w:sz w:val="21"/>
          <w:szCs w:val="20"/>
          <w:lang w:eastAsia="zh-CN"/>
        </w:rPr>
        <w:drawing>
          <wp:inline distT="0" distB="0" distL="114300" distR="114300">
            <wp:extent cx="5041900" cy="1658620"/>
            <wp:effectExtent l="0" t="0" r="0" b="5080"/>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13"/>
                    <a:stretch>
                      <a:fillRect/>
                    </a:stretch>
                  </pic:blipFill>
                  <pic:spPr>
                    <a:xfrm>
                      <a:off x="0" y="0"/>
                      <a:ext cx="5041900" cy="16586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11</w:t>
      </w:r>
      <w:r>
        <w:rPr>
          <w:rFonts w:hint="eastAsia" w:ascii="微软雅黑" w:hAnsi="微软雅黑" w:eastAsia="微软雅黑" w:cs="Times New Roman"/>
          <w:kern w:val="2"/>
          <w:sz w:val="21"/>
          <w:szCs w:val="20"/>
          <w:lang w:val="en-US" w:eastAsia="zh-CN"/>
        </w:rPr>
        <w:t>.</w:t>
      </w:r>
      <w:r>
        <w:rPr>
          <w:rFonts w:ascii="微软雅黑" w:hAnsi="微软雅黑" w:eastAsia="微软雅黑" w:cs="Times New Roman"/>
          <w:kern w:val="2"/>
          <w:sz w:val="21"/>
          <w:szCs w:val="20"/>
        </w:rPr>
        <w:t>1</w:t>
      </w:r>
      <w:r>
        <w:rPr>
          <w:rFonts w:hint="eastAsia" w:ascii="微软雅黑" w:hAnsi="微软雅黑" w:eastAsia="微软雅黑" w:cs="Times New Roman"/>
          <w:kern w:val="2"/>
          <w:sz w:val="21"/>
          <w:szCs w:val="20"/>
        </w:rPr>
        <w:t>，旺旺集团#</w:t>
      </w:r>
      <w:r>
        <w:rPr>
          <w:rFonts w:ascii="微软雅黑" w:hAnsi="微软雅黑" w:eastAsia="微软雅黑" w:cs="Times New Roman"/>
          <w:kern w:val="2"/>
          <w:sz w:val="21"/>
          <w:szCs w:val="20"/>
        </w:rPr>
        <w:t>旺仔俱乐部</w:t>
      </w:r>
      <w:r>
        <w:rPr>
          <w:rFonts w:hint="eastAsia" w:ascii="微软雅黑" w:hAnsi="微软雅黑" w:eastAsia="微软雅黑" w:cs="Times New Roman"/>
          <w:kern w:val="2"/>
          <w:sz w:val="21"/>
          <w:szCs w:val="20"/>
        </w:rPr>
        <w:t>#</w:t>
      </w:r>
      <w:r>
        <w:rPr>
          <w:rFonts w:ascii="微软雅黑" w:hAnsi="微软雅黑" w:eastAsia="微软雅黑" w:cs="Times New Roman"/>
          <w:kern w:val="2"/>
          <w:sz w:val="21"/>
          <w:szCs w:val="20"/>
        </w:rPr>
        <w:t>微信宣传</w:t>
      </w:r>
      <w:r>
        <w:rPr>
          <w:rFonts w:hint="eastAsia" w:ascii="微软雅黑" w:hAnsi="微软雅黑" w:eastAsia="微软雅黑" w:cs="Times New Roman"/>
          <w:kern w:val="2"/>
          <w:sz w:val="21"/>
          <w:szCs w:val="20"/>
        </w:rPr>
        <w:t>，粉丝直呼“旺仔牛奶糖简直是我整个高中的味道”，让粉丝们有吃糖像恋爱一样甜蜜的感觉，推文下方链接跳转商城，活动期间总销售业绩↑</w:t>
      </w:r>
      <w:r>
        <w:rPr>
          <w:rFonts w:ascii="微软雅黑" w:hAnsi="微软雅黑" w:eastAsia="微软雅黑" w:cs="Times New Roman"/>
          <w:kern w:val="2"/>
          <w:sz w:val="21"/>
          <w:szCs w:val="20"/>
        </w:rPr>
        <w:t>229%。</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ascii="微软雅黑" w:hAnsi="微软雅黑" w:eastAsia="微软雅黑" w:cs="Times New Roman"/>
          <w:kern w:val="2"/>
          <w:sz w:val="21"/>
          <w:szCs w:val="20"/>
        </w:rPr>
      </w:pPr>
      <w:r>
        <w:rPr>
          <w:rFonts w:hint="eastAsia" w:ascii="微软雅黑" w:hAnsi="微软雅黑" w:eastAsia="微软雅黑" w:cs="Times New Roman"/>
          <w:kern w:val="2"/>
          <w:sz w:val="21"/>
          <w:szCs w:val="20"/>
          <w:lang w:eastAsia="zh-CN"/>
        </w:rPr>
        <w:drawing>
          <wp:inline distT="0" distB="0" distL="114300" distR="114300">
            <wp:extent cx="5041900" cy="2298700"/>
            <wp:effectExtent l="0" t="0" r="0" b="0"/>
            <wp:docPr id="8" name="图片 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8"/>
                    <pic:cNvPicPr>
                      <a:picLocks noChangeAspect="1"/>
                    </pic:cNvPicPr>
                  </pic:nvPicPr>
                  <pic:blipFill>
                    <a:blip r:embed="rId14"/>
                    <a:stretch>
                      <a:fillRect/>
                    </a:stretch>
                  </pic:blipFill>
                  <pic:spPr>
                    <a:xfrm>
                      <a:off x="0" y="0"/>
                      <a:ext cx="5041900" cy="2298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11</w:t>
      </w:r>
      <w:r>
        <w:rPr>
          <w:rFonts w:hint="eastAsia" w:ascii="微软雅黑" w:hAnsi="微软雅黑" w:eastAsia="微软雅黑" w:cs="Times New Roman"/>
          <w:kern w:val="2"/>
          <w:sz w:val="21"/>
          <w:szCs w:val="20"/>
          <w:lang w:val="en-US" w:eastAsia="zh-CN"/>
        </w:rPr>
        <w:t>.</w:t>
      </w:r>
      <w:r>
        <w:rPr>
          <w:rFonts w:ascii="微软雅黑" w:hAnsi="微软雅黑" w:eastAsia="微软雅黑" w:cs="Times New Roman"/>
          <w:kern w:val="2"/>
          <w:sz w:val="21"/>
          <w:szCs w:val="20"/>
        </w:rPr>
        <w:t>1</w:t>
      </w:r>
      <w:r>
        <w:rPr>
          <w:rFonts w:hint="eastAsia" w:ascii="微软雅黑" w:hAnsi="微软雅黑" w:eastAsia="微软雅黑" w:cs="Times New Roman"/>
          <w:kern w:val="2"/>
          <w:sz w:val="21"/>
          <w:szCs w:val="20"/>
        </w:rPr>
        <w:t>3，</w:t>
      </w:r>
      <w:r>
        <w:rPr>
          <w:rFonts w:ascii="微软雅黑" w:hAnsi="微软雅黑" w:eastAsia="微软雅黑" w:cs="Times New Roman"/>
          <w:kern w:val="2"/>
          <w:sz w:val="21"/>
          <w:szCs w:val="20"/>
        </w:rPr>
        <w:t>#她的微笑像颗糖# 抖音直播</w:t>
      </w:r>
      <w:r>
        <w:rPr>
          <w:rFonts w:hint="eastAsia" w:ascii="微软雅黑" w:hAnsi="微软雅黑" w:eastAsia="微软雅黑" w:cs="Times New Roman"/>
          <w:kern w:val="2"/>
          <w:sz w:val="21"/>
          <w:szCs w:val="20"/>
        </w:rPr>
        <w:t>，导演与粉丝热情互动，赠送剧中植入同款旺旺零食。</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b/>
          <w:color w:val="0000FF"/>
          <w:sz w:val="28"/>
          <w:lang w:eastAsia="zh-CN"/>
        </w:rPr>
      </w:pPr>
      <w:r>
        <w:rPr>
          <w:rFonts w:hint="eastAsia" w:ascii="微软雅黑" w:hAnsi="微软雅黑" w:eastAsia="微软雅黑"/>
          <w:b/>
          <w:color w:val="0000FF"/>
          <w:sz w:val="28"/>
          <w:lang w:eastAsia="zh-CN"/>
        </w:rPr>
        <w:drawing>
          <wp:inline distT="0" distB="0" distL="114300" distR="114300">
            <wp:extent cx="5037455" cy="2360930"/>
            <wp:effectExtent l="0" t="0" r="4445" b="1270"/>
            <wp:docPr id="9" name="图片 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9"/>
                    <pic:cNvPicPr>
                      <a:picLocks noChangeAspect="1"/>
                    </pic:cNvPicPr>
                  </pic:nvPicPr>
                  <pic:blipFill>
                    <a:blip r:embed="rId15"/>
                    <a:stretch>
                      <a:fillRect/>
                    </a:stretch>
                  </pic:blipFill>
                  <pic:spPr>
                    <a:xfrm>
                      <a:off x="0" y="0"/>
                      <a:ext cx="5037455" cy="2360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10</w:t>
      </w:r>
      <w:r>
        <w:rPr>
          <w:rFonts w:hint="eastAsia" w:ascii="微软雅黑" w:hAnsi="微软雅黑" w:eastAsia="微软雅黑" w:cs="Times New Roman"/>
          <w:kern w:val="2"/>
          <w:sz w:val="21"/>
          <w:szCs w:val="20"/>
          <w:lang w:val="en-US" w:eastAsia="zh-CN"/>
        </w:rPr>
        <w:t>.</w:t>
      </w:r>
      <w:r>
        <w:rPr>
          <w:rFonts w:ascii="微软雅黑" w:hAnsi="微软雅黑" w:eastAsia="微软雅黑" w:cs="Times New Roman"/>
          <w:kern w:val="2"/>
          <w:sz w:val="21"/>
          <w:szCs w:val="20"/>
        </w:rPr>
        <w:t>30-11</w:t>
      </w:r>
      <w:r>
        <w:rPr>
          <w:rFonts w:hint="eastAsia" w:ascii="微软雅黑" w:hAnsi="微软雅黑" w:eastAsia="微软雅黑" w:cs="Times New Roman"/>
          <w:kern w:val="2"/>
          <w:sz w:val="21"/>
          <w:szCs w:val="20"/>
          <w:lang w:val="en-US" w:eastAsia="zh-CN"/>
        </w:rPr>
        <w:t>.</w:t>
      </w:r>
      <w:r>
        <w:rPr>
          <w:rFonts w:ascii="微软雅黑" w:hAnsi="微软雅黑" w:eastAsia="微软雅黑" w:cs="Times New Roman"/>
          <w:kern w:val="2"/>
          <w:sz w:val="21"/>
          <w:szCs w:val="20"/>
        </w:rPr>
        <w:t>14</w:t>
      </w:r>
      <w:r>
        <w:rPr>
          <w:rFonts w:hint="eastAsia" w:ascii="微软雅黑" w:hAnsi="微软雅黑" w:eastAsia="微软雅黑" w:cs="Times New Roman"/>
          <w:kern w:val="2"/>
          <w:sz w:val="21"/>
          <w:szCs w:val="20"/>
        </w:rPr>
        <w:t>，</w:t>
      </w:r>
      <w:r>
        <w:rPr>
          <w:rFonts w:ascii="微软雅黑" w:hAnsi="微软雅黑" w:eastAsia="微软雅黑" w:cs="Times New Roman"/>
          <w:kern w:val="2"/>
          <w:sz w:val="21"/>
          <w:szCs w:val="20"/>
        </w:rPr>
        <w:t>天猫旺旺食品旗舰店推荐主题页面&amp;产品（旺仔牛奶糖&amp;浪味仙）详情页上线同步推广。</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s="Times New Roman"/>
          <w:kern w:val="2"/>
          <w:sz w:val="21"/>
          <w:szCs w:val="20"/>
          <w:lang w:eastAsia="zh-CN"/>
        </w:rPr>
      </w:pPr>
      <w:r>
        <w:rPr>
          <w:rFonts w:hint="eastAsia" w:ascii="微软雅黑" w:hAnsi="微软雅黑" w:eastAsia="微软雅黑" w:cs="Times New Roman"/>
          <w:kern w:val="2"/>
          <w:sz w:val="21"/>
          <w:szCs w:val="20"/>
          <w:lang w:eastAsia="zh-CN"/>
        </w:rPr>
        <w:drawing>
          <wp:inline distT="0" distB="0" distL="114300" distR="114300">
            <wp:extent cx="5045710" cy="2950845"/>
            <wp:effectExtent l="0" t="0" r="8890" b="8255"/>
            <wp:docPr id="10" name="图片 10"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0"/>
                    <pic:cNvPicPr>
                      <a:picLocks noChangeAspect="1"/>
                    </pic:cNvPicPr>
                  </pic:nvPicPr>
                  <pic:blipFill>
                    <a:blip r:embed="rId16"/>
                    <a:stretch>
                      <a:fillRect/>
                    </a:stretch>
                  </pic:blipFill>
                  <pic:spPr>
                    <a:xfrm>
                      <a:off x="0" y="0"/>
                      <a:ext cx="5045710" cy="29508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hint="eastAsia" w:ascii="微软雅黑" w:hAnsi="微软雅黑" w:eastAsia="微软雅黑" w:cs="Times New Roman"/>
          <w:kern w:val="2"/>
          <w:sz w:val="21"/>
          <w:szCs w:val="20"/>
        </w:rPr>
        <w:t>通过与短视频线上线下各渠道的营销方式，能够快速且有效的触达消费人群。</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hint="eastAsia" w:ascii="微软雅黑" w:hAnsi="微软雅黑" w:eastAsia="微软雅黑" w:cs="Times New Roman"/>
          <w:kern w:val="2"/>
          <w:sz w:val="21"/>
          <w:szCs w:val="20"/>
        </w:rPr>
        <w:t>从温暖甜蜜的角度出发，触及观众对品牌产品记忆，带动销量提升。</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10/28-11/28</w:t>
      </w:r>
      <w:r>
        <w:rPr>
          <w:rFonts w:hint="eastAsia" w:ascii="微软雅黑" w:hAnsi="微软雅黑" w:eastAsia="微软雅黑" w:cs="Times New Roman"/>
          <w:kern w:val="2"/>
          <w:sz w:val="21"/>
          <w:szCs w:val="20"/>
        </w:rPr>
        <w:t>，</w:t>
      </w:r>
      <w:r>
        <w:rPr>
          <w:rFonts w:ascii="微软雅黑" w:hAnsi="微软雅黑" w:eastAsia="微软雅黑" w:cs="Times New Roman"/>
          <w:kern w:val="2"/>
          <w:sz w:val="21"/>
          <w:szCs w:val="20"/>
        </w:rPr>
        <w:t>全国6500+台自动贩售机上线投放牛奶糖植入视频推广，</w:t>
      </w:r>
      <w:r>
        <w:rPr>
          <w:rFonts w:hint="eastAsia" w:ascii="微软雅黑" w:hAnsi="微软雅黑" w:eastAsia="微软雅黑" w:cs="Times New Roman"/>
          <w:kern w:val="2"/>
          <w:sz w:val="21"/>
          <w:szCs w:val="20"/>
        </w:rPr>
        <w:t>活动期间</w:t>
      </w:r>
      <w:r>
        <w:rPr>
          <w:rFonts w:ascii="微软雅黑" w:hAnsi="微软雅黑" w:eastAsia="微软雅黑" w:cs="Times New Roman"/>
          <w:kern w:val="2"/>
          <w:sz w:val="21"/>
          <w:szCs w:val="20"/>
        </w:rPr>
        <w:t>旺仔牛奶糖</w:t>
      </w:r>
      <w:r>
        <w:rPr>
          <w:rFonts w:hint="eastAsia" w:ascii="微软雅黑" w:hAnsi="微软雅黑" w:eastAsia="微软雅黑" w:cs="Times New Roman"/>
          <w:kern w:val="2"/>
          <w:sz w:val="21"/>
          <w:szCs w:val="20"/>
        </w:rPr>
        <w:t>整体</w:t>
      </w:r>
      <w:r>
        <w:rPr>
          <w:rFonts w:ascii="微软雅黑" w:hAnsi="微软雅黑" w:eastAsia="微软雅黑" w:cs="Times New Roman"/>
          <w:kern w:val="2"/>
          <w:sz w:val="21"/>
          <w:szCs w:val="20"/>
        </w:rPr>
        <w:t>销量↑</w:t>
      </w:r>
      <w:r>
        <w:rPr>
          <w:rFonts w:hint="eastAsia" w:ascii="微软雅黑" w:hAnsi="微软雅黑" w:eastAsia="微软雅黑" w:cs="Times New Roman"/>
          <w:kern w:val="2"/>
          <w:sz w:val="21"/>
          <w:szCs w:val="20"/>
        </w:rPr>
        <w:t>40</w:t>
      </w:r>
      <w:r>
        <w:rPr>
          <w:rFonts w:ascii="微软雅黑" w:hAnsi="微软雅黑" w:eastAsia="微软雅黑" w:cs="Times New Roman"/>
          <w:kern w:val="2"/>
          <w:sz w:val="21"/>
          <w:szCs w:val="20"/>
        </w:rPr>
        <w:t>%</w:t>
      </w:r>
      <w:r>
        <w:rPr>
          <w:rFonts w:hint="eastAsia" w:ascii="微软雅黑" w:hAnsi="微软雅黑" w:eastAsia="微软雅黑" w:cs="Times New Roman"/>
          <w:kern w:val="2"/>
          <w:sz w:val="21"/>
          <w:szCs w:val="20"/>
        </w:rPr>
        <w:t>。</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s="Times New Roman"/>
          <w:kern w:val="2"/>
          <w:sz w:val="21"/>
          <w:szCs w:val="20"/>
          <w:lang w:eastAsia="zh-CN"/>
        </w:rPr>
      </w:pPr>
      <w:r>
        <w:rPr>
          <w:rFonts w:hint="eastAsia" w:ascii="微软雅黑" w:hAnsi="微软雅黑" w:eastAsia="微软雅黑" w:cs="Times New Roman"/>
          <w:kern w:val="2"/>
          <w:sz w:val="21"/>
          <w:szCs w:val="20"/>
          <w:lang w:eastAsia="zh-CN"/>
        </w:rPr>
        <w:drawing>
          <wp:inline distT="0" distB="0" distL="114300" distR="114300">
            <wp:extent cx="5608320" cy="1804670"/>
            <wp:effectExtent l="0" t="0" r="5080" b="11430"/>
            <wp:docPr id="11" name="图片 1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1"/>
                    <pic:cNvPicPr>
                      <a:picLocks noChangeAspect="1"/>
                    </pic:cNvPicPr>
                  </pic:nvPicPr>
                  <pic:blipFill>
                    <a:blip r:embed="rId17"/>
                    <a:stretch>
                      <a:fillRect/>
                    </a:stretch>
                  </pic:blipFill>
                  <pic:spPr>
                    <a:xfrm>
                      <a:off x="0" y="0"/>
                      <a:ext cx="5608320" cy="18046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ascii="微软雅黑" w:hAnsi="微软雅黑" w:eastAsia="微软雅黑" w:cs="Times New Roman"/>
          <w:kern w:val="2"/>
          <w:sz w:val="21"/>
          <w:szCs w:val="20"/>
        </w:rPr>
        <w:t>10/23-11/22</w:t>
      </w:r>
      <w:r>
        <w:rPr>
          <w:rFonts w:hint="eastAsia" w:ascii="微软雅黑" w:hAnsi="微软雅黑" w:eastAsia="微软雅黑" w:cs="Times New Roman"/>
          <w:kern w:val="2"/>
          <w:sz w:val="21"/>
          <w:szCs w:val="20"/>
        </w:rPr>
        <w:t>，</w:t>
      </w:r>
      <w:r>
        <w:rPr>
          <w:rFonts w:ascii="微软雅黑" w:hAnsi="微软雅黑" w:eastAsia="微软雅黑" w:cs="Times New Roman"/>
          <w:kern w:val="2"/>
          <w:sz w:val="21"/>
          <w:szCs w:val="20"/>
        </w:rPr>
        <w:t>旺仔旺铺小程序上线Banner轮播页面&amp;主题页宣传，11/11旺仔俱乐部微信</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both"/>
        <w:textAlignment w:val="baseline"/>
        <w:rPr>
          <w:rFonts w:ascii="微软雅黑" w:hAnsi="微软雅黑" w:eastAsia="微软雅黑" w:cs="Times New Roman"/>
          <w:kern w:val="2"/>
          <w:sz w:val="21"/>
          <w:szCs w:val="20"/>
        </w:rPr>
      </w:pPr>
      <w:r>
        <w:rPr>
          <w:rFonts w:hint="eastAsia" w:ascii="微软雅黑" w:hAnsi="微软雅黑" w:eastAsia="微软雅黑" w:cs="Times New Roman"/>
          <w:kern w:val="2"/>
          <w:sz w:val="21"/>
          <w:szCs w:val="20"/>
        </w:rPr>
        <w:t>推文下方链接跳转商城，活动期间总销售业绩增长</w:t>
      </w:r>
      <w:r>
        <w:rPr>
          <w:rFonts w:ascii="微软雅黑" w:hAnsi="微软雅黑" w:eastAsia="微软雅黑" w:cs="Times New Roman"/>
          <w:kern w:val="2"/>
          <w:sz w:val="21"/>
          <w:szCs w:val="20"/>
        </w:rPr>
        <w:t>229%。</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baseline"/>
        <w:rPr>
          <w:rFonts w:hint="eastAsia" w:ascii="微软雅黑" w:hAnsi="微软雅黑" w:eastAsia="微软雅黑"/>
          <w:color w:val="FF0000"/>
          <w:szCs w:val="21"/>
          <w:lang w:eastAsia="zh-CN"/>
        </w:rPr>
      </w:pPr>
      <w:r>
        <w:rPr>
          <w:rFonts w:hint="eastAsia" w:ascii="微软雅黑" w:hAnsi="微软雅黑" w:eastAsia="微软雅黑"/>
          <w:color w:val="FF0000"/>
          <w:szCs w:val="21"/>
          <w:lang w:eastAsia="zh-CN"/>
        </w:rPr>
        <w:drawing>
          <wp:inline distT="0" distB="0" distL="114300" distR="114300">
            <wp:extent cx="5041900" cy="2444115"/>
            <wp:effectExtent l="0" t="0" r="0" b="6985"/>
            <wp:docPr id="12" name="图片 12"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3"/>
                    <pic:cNvPicPr>
                      <a:picLocks noChangeAspect="1"/>
                    </pic:cNvPicPr>
                  </pic:nvPicPr>
                  <pic:blipFill>
                    <a:blip r:embed="rId18"/>
                    <a:stretch>
                      <a:fillRect/>
                    </a:stretch>
                  </pic:blipFill>
                  <pic:spPr>
                    <a:xfrm>
                      <a:off x="0" y="0"/>
                      <a:ext cx="5041900" cy="2444115"/>
                    </a:xfrm>
                    <a:prstGeom prst="rect">
                      <a:avLst/>
                    </a:prstGeom>
                    <a:noFill/>
                    <a:ln>
                      <a:noFill/>
                    </a:ln>
                  </pic:spPr>
                </pic:pic>
              </a:graphicData>
            </a:graphic>
          </wp:inline>
        </w:drawing>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114300" distR="114300">
          <wp:extent cx="776605" cy="377825"/>
          <wp:effectExtent l="0" t="0" r="1079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
                  <a:stretch>
                    <a:fillRect/>
                  </a:stretch>
                </pic:blipFill>
                <pic:spPr>
                  <a:xfrm>
                    <a:off x="0" y="0"/>
                    <a:ext cx="776605" cy="377825"/>
                  </a:xfrm>
                  <a:prstGeom prst="rect">
                    <a:avLst/>
                  </a:prstGeom>
                  <a:noFill/>
                  <a:ln>
                    <a:noFill/>
                  </a:ln>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1576"/>
    <w:rsid w:val="00046CF7"/>
    <w:rsid w:val="000532E1"/>
    <w:rsid w:val="00056E4C"/>
    <w:rsid w:val="0006079A"/>
    <w:rsid w:val="000631F9"/>
    <w:rsid w:val="00071CE5"/>
    <w:rsid w:val="000724F0"/>
    <w:rsid w:val="0007509B"/>
    <w:rsid w:val="00077EC5"/>
    <w:rsid w:val="000915E6"/>
    <w:rsid w:val="00097129"/>
    <w:rsid w:val="000979A5"/>
    <w:rsid w:val="000A0926"/>
    <w:rsid w:val="000A3EB7"/>
    <w:rsid w:val="000B2399"/>
    <w:rsid w:val="000D05FE"/>
    <w:rsid w:val="000D6DC9"/>
    <w:rsid w:val="000E10C0"/>
    <w:rsid w:val="000E18A5"/>
    <w:rsid w:val="000E2A45"/>
    <w:rsid w:val="000F07ED"/>
    <w:rsid w:val="000F4F10"/>
    <w:rsid w:val="000F5168"/>
    <w:rsid w:val="000F63B2"/>
    <w:rsid w:val="00106EA3"/>
    <w:rsid w:val="0010732C"/>
    <w:rsid w:val="001123F6"/>
    <w:rsid w:val="00114DD5"/>
    <w:rsid w:val="001265C9"/>
    <w:rsid w:val="00131A61"/>
    <w:rsid w:val="00136B4D"/>
    <w:rsid w:val="00142184"/>
    <w:rsid w:val="001458CE"/>
    <w:rsid w:val="00146A94"/>
    <w:rsid w:val="00150968"/>
    <w:rsid w:val="001540DA"/>
    <w:rsid w:val="00162788"/>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2E60"/>
    <w:rsid w:val="001E38F1"/>
    <w:rsid w:val="001E6133"/>
    <w:rsid w:val="001F17F1"/>
    <w:rsid w:val="001F36FC"/>
    <w:rsid w:val="001F4270"/>
    <w:rsid w:val="0020719F"/>
    <w:rsid w:val="0021239E"/>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0BF7"/>
    <w:rsid w:val="002D491E"/>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9130A"/>
    <w:rsid w:val="003A2FD7"/>
    <w:rsid w:val="003A3097"/>
    <w:rsid w:val="003A3802"/>
    <w:rsid w:val="003B1CCE"/>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13C07"/>
    <w:rsid w:val="00423117"/>
    <w:rsid w:val="00425856"/>
    <w:rsid w:val="00426569"/>
    <w:rsid w:val="00426D8C"/>
    <w:rsid w:val="00441E24"/>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A5397"/>
    <w:rsid w:val="004C539E"/>
    <w:rsid w:val="004D12D7"/>
    <w:rsid w:val="004D3EF9"/>
    <w:rsid w:val="004D53A9"/>
    <w:rsid w:val="004E0791"/>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0B04"/>
    <w:rsid w:val="005A539D"/>
    <w:rsid w:val="005A56AE"/>
    <w:rsid w:val="005A697D"/>
    <w:rsid w:val="005B2564"/>
    <w:rsid w:val="005B6389"/>
    <w:rsid w:val="005C011B"/>
    <w:rsid w:val="005C16B2"/>
    <w:rsid w:val="005C2CAF"/>
    <w:rsid w:val="005D5D19"/>
    <w:rsid w:val="005D614B"/>
    <w:rsid w:val="005D77D7"/>
    <w:rsid w:val="005E3D19"/>
    <w:rsid w:val="005E4E84"/>
    <w:rsid w:val="006126FE"/>
    <w:rsid w:val="00613CE9"/>
    <w:rsid w:val="00617BBF"/>
    <w:rsid w:val="006407C5"/>
    <w:rsid w:val="00642F29"/>
    <w:rsid w:val="00644994"/>
    <w:rsid w:val="00650F34"/>
    <w:rsid w:val="0065606B"/>
    <w:rsid w:val="0065759C"/>
    <w:rsid w:val="00661A8D"/>
    <w:rsid w:val="006707FE"/>
    <w:rsid w:val="006709B4"/>
    <w:rsid w:val="0067611E"/>
    <w:rsid w:val="006853C8"/>
    <w:rsid w:val="00686D76"/>
    <w:rsid w:val="00687996"/>
    <w:rsid w:val="00693C3F"/>
    <w:rsid w:val="006955F5"/>
    <w:rsid w:val="006A24F1"/>
    <w:rsid w:val="006B5BB6"/>
    <w:rsid w:val="006C16A7"/>
    <w:rsid w:val="006C1733"/>
    <w:rsid w:val="006D2064"/>
    <w:rsid w:val="006D4934"/>
    <w:rsid w:val="006D5766"/>
    <w:rsid w:val="006F421E"/>
    <w:rsid w:val="006F662D"/>
    <w:rsid w:val="007040B0"/>
    <w:rsid w:val="00710B89"/>
    <w:rsid w:val="00713668"/>
    <w:rsid w:val="00715AD3"/>
    <w:rsid w:val="00716B53"/>
    <w:rsid w:val="0072102A"/>
    <w:rsid w:val="0072725D"/>
    <w:rsid w:val="0073004D"/>
    <w:rsid w:val="0073428A"/>
    <w:rsid w:val="007365E4"/>
    <w:rsid w:val="00753753"/>
    <w:rsid w:val="007538EE"/>
    <w:rsid w:val="007618B2"/>
    <w:rsid w:val="00764220"/>
    <w:rsid w:val="007647D1"/>
    <w:rsid w:val="0079193D"/>
    <w:rsid w:val="0079238C"/>
    <w:rsid w:val="00793F18"/>
    <w:rsid w:val="00795109"/>
    <w:rsid w:val="007A0451"/>
    <w:rsid w:val="007A69DA"/>
    <w:rsid w:val="007B2D27"/>
    <w:rsid w:val="007C0828"/>
    <w:rsid w:val="007C3F70"/>
    <w:rsid w:val="007C4C7A"/>
    <w:rsid w:val="007D5451"/>
    <w:rsid w:val="007D76B6"/>
    <w:rsid w:val="007E2B9D"/>
    <w:rsid w:val="007F6422"/>
    <w:rsid w:val="0080439E"/>
    <w:rsid w:val="00812085"/>
    <w:rsid w:val="008127B1"/>
    <w:rsid w:val="00812A8A"/>
    <w:rsid w:val="00813515"/>
    <w:rsid w:val="008159A4"/>
    <w:rsid w:val="00820C09"/>
    <w:rsid w:val="00823822"/>
    <w:rsid w:val="00825032"/>
    <w:rsid w:val="00832432"/>
    <w:rsid w:val="008326D5"/>
    <w:rsid w:val="00833986"/>
    <w:rsid w:val="008477DC"/>
    <w:rsid w:val="0085738D"/>
    <w:rsid w:val="008612D4"/>
    <w:rsid w:val="008674D7"/>
    <w:rsid w:val="00880022"/>
    <w:rsid w:val="0088531E"/>
    <w:rsid w:val="008875A4"/>
    <w:rsid w:val="00896DC1"/>
    <w:rsid w:val="008B2200"/>
    <w:rsid w:val="008B689B"/>
    <w:rsid w:val="008C2693"/>
    <w:rsid w:val="008E62F2"/>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1A40"/>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32B0"/>
    <w:rsid w:val="00A44A15"/>
    <w:rsid w:val="00A51A67"/>
    <w:rsid w:val="00A52343"/>
    <w:rsid w:val="00A54EAE"/>
    <w:rsid w:val="00A56181"/>
    <w:rsid w:val="00A57B51"/>
    <w:rsid w:val="00A631B1"/>
    <w:rsid w:val="00A71293"/>
    <w:rsid w:val="00A71C4C"/>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2F33"/>
    <w:rsid w:val="00AD58E1"/>
    <w:rsid w:val="00AD6835"/>
    <w:rsid w:val="00AE30F1"/>
    <w:rsid w:val="00AE7F81"/>
    <w:rsid w:val="00AF0F77"/>
    <w:rsid w:val="00AF1D91"/>
    <w:rsid w:val="00B03FD0"/>
    <w:rsid w:val="00B05B17"/>
    <w:rsid w:val="00B21101"/>
    <w:rsid w:val="00B24DCC"/>
    <w:rsid w:val="00B25274"/>
    <w:rsid w:val="00B27391"/>
    <w:rsid w:val="00B35B50"/>
    <w:rsid w:val="00B36BD0"/>
    <w:rsid w:val="00B40529"/>
    <w:rsid w:val="00B413D5"/>
    <w:rsid w:val="00B5241D"/>
    <w:rsid w:val="00B54EBC"/>
    <w:rsid w:val="00B71E01"/>
    <w:rsid w:val="00B766EE"/>
    <w:rsid w:val="00B77B58"/>
    <w:rsid w:val="00B8584F"/>
    <w:rsid w:val="00B93BD6"/>
    <w:rsid w:val="00B93E3B"/>
    <w:rsid w:val="00BA0158"/>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B6E88"/>
    <w:rsid w:val="00CC24FE"/>
    <w:rsid w:val="00CC70FB"/>
    <w:rsid w:val="00CD4D6E"/>
    <w:rsid w:val="00CE55AC"/>
    <w:rsid w:val="00D12B9C"/>
    <w:rsid w:val="00D13BC3"/>
    <w:rsid w:val="00D14F03"/>
    <w:rsid w:val="00D25DB4"/>
    <w:rsid w:val="00D409BB"/>
    <w:rsid w:val="00D468F2"/>
    <w:rsid w:val="00D5007A"/>
    <w:rsid w:val="00D5598B"/>
    <w:rsid w:val="00D56BD0"/>
    <w:rsid w:val="00D60309"/>
    <w:rsid w:val="00D63679"/>
    <w:rsid w:val="00D6725D"/>
    <w:rsid w:val="00D71A2E"/>
    <w:rsid w:val="00D731FC"/>
    <w:rsid w:val="00D80973"/>
    <w:rsid w:val="00D9425E"/>
    <w:rsid w:val="00DB3708"/>
    <w:rsid w:val="00DB4C4A"/>
    <w:rsid w:val="00DC32E7"/>
    <w:rsid w:val="00DC397E"/>
    <w:rsid w:val="00DD56E4"/>
    <w:rsid w:val="00DE76F1"/>
    <w:rsid w:val="00E004F9"/>
    <w:rsid w:val="00E07D12"/>
    <w:rsid w:val="00E21168"/>
    <w:rsid w:val="00E23547"/>
    <w:rsid w:val="00E23EF7"/>
    <w:rsid w:val="00E26E63"/>
    <w:rsid w:val="00E31567"/>
    <w:rsid w:val="00E336C0"/>
    <w:rsid w:val="00E4076C"/>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94A6E"/>
    <w:rsid w:val="00EA4712"/>
    <w:rsid w:val="00EA652C"/>
    <w:rsid w:val="00EB0731"/>
    <w:rsid w:val="00EC320D"/>
    <w:rsid w:val="00EC4DA4"/>
    <w:rsid w:val="00EC6379"/>
    <w:rsid w:val="00ED507C"/>
    <w:rsid w:val="00EE38CD"/>
    <w:rsid w:val="00EE694F"/>
    <w:rsid w:val="00EE6D2C"/>
    <w:rsid w:val="00EE72D7"/>
    <w:rsid w:val="00EF4ED6"/>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D256ABC"/>
    <w:rsid w:val="186A4495"/>
    <w:rsid w:val="3DC07B5E"/>
    <w:rsid w:val="46503DC7"/>
    <w:rsid w:val="537753F3"/>
    <w:rsid w:val="71460E03"/>
    <w:rsid w:val="7D55148E"/>
    <w:rsid w:val="EE5D1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Char"/>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customStyle="1"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Pages>
  <Words>2461</Words>
  <Characters>2714</Characters>
  <Lines>3</Lines>
  <Paragraphs>5</Paragraphs>
  <TotalTime>1</TotalTime>
  <ScaleCrop>false</ScaleCrop>
  <LinksUpToDate>false</LinksUpToDate>
  <CharactersWithSpaces>2760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2015-11-23T15:28:00Z</dcterms:created>
  <dc:creator>雨林木风</dc:creator>
  <cp:lastModifiedBy>ylb</cp:lastModifiedBy>
  <cp:lastPrinted>2012-10-11T16:46:00Z</cp:lastPrinted>
  <dcterms:modified xsi:type="dcterms:W3CDTF">2021-02-24T02:48:00Z</dcterms:modified>
  <dc:title>No</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