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F8797" w14:textId="7C8F25BA" w:rsidR="00D354A2" w:rsidRDefault="00D354A2" w:rsidP="00D354A2">
      <w:pPr>
        <w:pStyle w:val="-"/>
        <w:spacing w:before="240" w:after="240"/>
      </w:pPr>
      <w:r w:rsidRPr="00D354A2">
        <w:rPr>
          <w:rFonts w:hint="eastAsia"/>
        </w:rPr>
        <w:t>宁波银行筑梦空间</w:t>
      </w:r>
    </w:p>
    <w:p w14:paraId="6F718624" w14:textId="77777777" w:rsidR="00D354A2" w:rsidRDefault="00D354A2" w:rsidP="00D354A2">
      <w:pPr>
        <w:textAlignment w:val="baseline"/>
        <w:rPr>
          <w:rFonts w:ascii="微软雅黑" w:eastAsia="微软雅黑" w:hAnsi="微软雅黑"/>
          <w:b/>
        </w:rPr>
      </w:pPr>
      <w:r>
        <w:rPr>
          <w:rFonts w:ascii="微软雅黑" w:eastAsia="微软雅黑" w:hAnsi="微软雅黑" w:hint="eastAsia"/>
          <w:b/>
        </w:rPr>
        <w:t>广 告 主：</w:t>
      </w:r>
      <w:r>
        <w:rPr>
          <w:rFonts w:ascii="微软雅黑" w:eastAsia="微软雅黑" w:hAnsi="微软雅黑" w:hint="eastAsia"/>
        </w:rPr>
        <w:t>宁波银行</w:t>
      </w:r>
    </w:p>
    <w:p w14:paraId="71340E8F" w14:textId="77777777" w:rsidR="00D354A2" w:rsidRDefault="00D354A2" w:rsidP="00D354A2">
      <w:pPr>
        <w:textAlignment w:val="baseline"/>
        <w:rPr>
          <w:rFonts w:ascii="微软雅黑" w:eastAsia="微软雅黑" w:hAnsi="微软雅黑"/>
          <w:b/>
        </w:rPr>
      </w:pPr>
      <w:r>
        <w:rPr>
          <w:rFonts w:ascii="微软雅黑" w:eastAsia="微软雅黑" w:hAnsi="微软雅黑" w:hint="eastAsia"/>
          <w:b/>
        </w:rPr>
        <w:t>所属行业：</w:t>
      </w:r>
      <w:r>
        <w:rPr>
          <w:rFonts w:ascii="微软雅黑" w:eastAsia="微软雅黑" w:hAnsi="微软雅黑" w:hint="eastAsia"/>
        </w:rPr>
        <w:t>金融业</w:t>
      </w:r>
    </w:p>
    <w:p w14:paraId="751F6AF9" w14:textId="7A01CD52" w:rsidR="00D354A2" w:rsidRDefault="00D354A2" w:rsidP="00D354A2">
      <w:pPr>
        <w:textAlignment w:val="baseline"/>
        <w:rPr>
          <w:rFonts w:ascii="微软雅黑" w:eastAsia="微软雅黑" w:hAnsi="微软雅黑"/>
          <w:b/>
        </w:rPr>
      </w:pPr>
      <w:r>
        <w:rPr>
          <w:rFonts w:ascii="微软雅黑" w:eastAsia="微软雅黑" w:hAnsi="微软雅黑" w:hint="eastAsia"/>
          <w:b/>
        </w:rPr>
        <w:t>执行时间：</w:t>
      </w:r>
      <w:r>
        <w:rPr>
          <w:rFonts w:ascii="微软雅黑" w:eastAsia="微软雅黑" w:hAnsi="微软雅黑" w:hint="eastAsia"/>
        </w:rPr>
        <w:t>2020</w:t>
      </w:r>
      <w:r w:rsidR="0025090B">
        <w:rPr>
          <w:rFonts w:ascii="微软雅黑" w:eastAsia="微软雅黑" w:hAnsi="微软雅黑"/>
        </w:rPr>
        <w:t>.</w:t>
      </w:r>
      <w:r>
        <w:rPr>
          <w:rFonts w:ascii="微软雅黑" w:eastAsia="微软雅黑" w:hAnsi="微软雅黑" w:hint="eastAsia"/>
        </w:rPr>
        <w:t>10</w:t>
      </w:r>
      <w:r w:rsidR="0025090B">
        <w:rPr>
          <w:rFonts w:ascii="微软雅黑" w:eastAsia="微软雅黑" w:hAnsi="微软雅黑" w:hint="eastAsia"/>
        </w:rPr>
        <w:t xml:space="preserve"> </w:t>
      </w:r>
      <w:r>
        <w:rPr>
          <w:rFonts w:ascii="微软雅黑" w:eastAsia="微软雅黑" w:hAnsi="微软雅黑" w:hint="eastAsia"/>
        </w:rPr>
        <w:t>-2021</w:t>
      </w:r>
      <w:r w:rsidR="0025090B">
        <w:rPr>
          <w:rFonts w:ascii="微软雅黑" w:eastAsia="微软雅黑" w:hAnsi="微软雅黑" w:hint="eastAsia"/>
        </w:rPr>
        <w:t>.</w:t>
      </w:r>
      <w:r>
        <w:rPr>
          <w:rFonts w:ascii="微软雅黑" w:eastAsia="微软雅黑" w:hAnsi="微软雅黑" w:hint="eastAsia"/>
        </w:rPr>
        <w:t>12</w:t>
      </w:r>
    </w:p>
    <w:p w14:paraId="5157C95E" w14:textId="5C9A7FAD" w:rsidR="00D354A2" w:rsidRDefault="00D354A2" w:rsidP="00D354A2">
      <w:pPr>
        <w:spacing w:after="240"/>
        <w:textAlignment w:val="baseline"/>
        <w:rPr>
          <w:rFonts w:ascii="微软雅黑" w:eastAsia="微软雅黑" w:hAnsi="微软雅黑"/>
        </w:rPr>
      </w:pPr>
      <w:r>
        <w:rPr>
          <w:rFonts w:ascii="微软雅黑" w:eastAsia="微软雅黑" w:hAnsi="微软雅黑" w:hint="eastAsia"/>
          <w:b/>
        </w:rPr>
        <w:t>参选类别：</w:t>
      </w:r>
      <w:r w:rsidRPr="00D354A2">
        <w:rPr>
          <w:rFonts w:ascii="微软雅黑" w:eastAsia="微软雅黑" w:hAnsi="微软雅黑" w:hint="eastAsia"/>
          <w:color w:val="000000"/>
          <w:szCs w:val="21"/>
        </w:rPr>
        <w:t>移动营销类</w:t>
      </w:r>
    </w:p>
    <w:p w14:paraId="45FCE93B" w14:textId="77777777" w:rsidR="00D354A2" w:rsidRDefault="00D354A2" w:rsidP="00D354A2">
      <w:pPr>
        <w:pStyle w:val="-1"/>
      </w:pPr>
      <w:r>
        <w:rPr>
          <w:rFonts w:hint="eastAsia"/>
        </w:rPr>
        <w:t>营销背景</w:t>
      </w:r>
    </w:p>
    <w:p w14:paraId="128C4A70" w14:textId="77777777" w:rsidR="00D354A2" w:rsidRDefault="00D354A2" w:rsidP="00D354A2">
      <w:pPr>
        <w:pStyle w:val="-0"/>
        <w:rPr>
          <w:lang w:eastAsia="zh-Hans"/>
        </w:rPr>
      </w:pPr>
      <w:r>
        <w:rPr>
          <w:rFonts w:hint="eastAsia"/>
        </w:rPr>
        <w:t>流量经营是银行针对客群进行数字化经营的起点。鉴于银行流量渠道分散、数字化程度低、缺乏运营方法的现状，</w:t>
      </w:r>
      <w:r>
        <w:rPr>
          <w:rFonts w:hint="eastAsia"/>
          <w:lang w:eastAsia="zh-Hans"/>
        </w:rPr>
        <w:t>宁波银行希望</w:t>
      </w:r>
      <w:r>
        <w:rPr>
          <w:rFonts w:hint="eastAsia"/>
        </w:rPr>
        <w:t>围绕获客这一核心目标，建立“潜客－新客－活跃新客”的三阶段运营策略</w:t>
      </w:r>
      <w:r>
        <w:rPr>
          <w:rFonts w:hint="eastAsia"/>
          <w:lang w:eastAsia="zh-Hans"/>
        </w:rPr>
        <w:t>。</w:t>
      </w:r>
    </w:p>
    <w:p w14:paraId="2B106189" w14:textId="77777777" w:rsidR="00D354A2" w:rsidRDefault="00D354A2" w:rsidP="00D354A2">
      <w:pPr>
        <w:pStyle w:val="-0"/>
      </w:pPr>
      <w:r>
        <w:rPr>
          <w:rFonts w:hint="eastAsia"/>
          <w:lang w:eastAsia="zh-Hans"/>
        </w:rPr>
        <w:t>互联网金融头部企业在互动玩法上有许多可学习借鉴的先例，</w:t>
      </w:r>
      <w:r>
        <w:rPr>
          <w:rFonts w:hint="eastAsia"/>
        </w:rPr>
        <w:t>如支付宝通过打造“蚂蚁森林”，为用户提供“攒能量”做公益的互动玩法，同时在互动过程中介绍金融知识，帮助用户了解线上办理缴费、购买理财的优势，完成了产品、服务的“种草”。</w:t>
      </w:r>
    </w:p>
    <w:p w14:paraId="30EA1AEE" w14:textId="239B9B95" w:rsidR="00D354A2" w:rsidRDefault="00D354A2" w:rsidP="00D354A2">
      <w:pPr>
        <w:pStyle w:val="-0"/>
        <w:rPr>
          <w:lang w:eastAsia="zh-Hans"/>
        </w:rPr>
      </w:pPr>
      <w:r>
        <w:rPr>
          <w:rFonts w:hint="eastAsia"/>
          <w:lang w:eastAsia="zh-Hans"/>
        </w:rPr>
        <w:t>通过这些优秀案例的成功，传统银行意识到搭建起金融场景加非金融场景的金融生态成为传统银行数字转型的当务之急。</w:t>
      </w:r>
    </w:p>
    <w:p w14:paraId="2017FB8C" w14:textId="77777777" w:rsidR="00D354A2" w:rsidRDefault="00D354A2" w:rsidP="00D354A2">
      <w:pPr>
        <w:pStyle w:val="-1"/>
      </w:pPr>
      <w:r>
        <w:rPr>
          <w:rFonts w:hint="eastAsia"/>
        </w:rPr>
        <w:t>营销目标</w:t>
      </w:r>
    </w:p>
    <w:p w14:paraId="252FBCAE" w14:textId="23AC788D" w:rsidR="00D354A2" w:rsidRDefault="00D354A2" w:rsidP="00D354A2">
      <w:pPr>
        <w:pStyle w:val="-0"/>
      </w:pPr>
      <w:r>
        <w:rPr>
          <w:rFonts w:hint="eastAsia"/>
        </w:rPr>
        <w:t>宁波银行</w:t>
      </w:r>
      <w:r>
        <w:rPr>
          <w:rFonts w:hint="eastAsia"/>
          <w:lang w:eastAsia="zh-Hans"/>
        </w:rPr>
        <w:t>希望</w:t>
      </w:r>
      <w:r>
        <w:rPr>
          <w:rFonts w:hint="eastAsia"/>
        </w:rPr>
        <w:t>通过一个游戏主场景，体现</w:t>
      </w:r>
      <w:r>
        <w:t>APP</w:t>
      </w:r>
      <w:r>
        <w:rPr>
          <w:rFonts w:hint="eastAsia"/>
        </w:rPr>
        <w:t>泛金融场景的生活观念，传达“生活就是每一笔消费所堆积出来的美好”的理念，让用户在筑梦空间中拥有一种全新的虚拟生活体验</w:t>
      </w:r>
      <w:r>
        <w:rPr>
          <w:rFonts w:hint="eastAsia"/>
          <w:lang w:eastAsia="zh-Hans"/>
        </w:rPr>
        <w:t>，实现宁波银行</w:t>
      </w:r>
      <w:r>
        <w:rPr>
          <w:lang w:eastAsia="zh-Hans"/>
        </w:rPr>
        <w:t>APP</w:t>
      </w:r>
      <w:r>
        <w:rPr>
          <w:rFonts w:hint="eastAsia"/>
          <w:lang w:eastAsia="zh-Hans"/>
        </w:rPr>
        <w:t>端内</w:t>
      </w:r>
      <w:r>
        <w:rPr>
          <w:rFonts w:hint="eastAsia"/>
        </w:rPr>
        <w:t>用户活跃和留存。</w:t>
      </w:r>
    </w:p>
    <w:p w14:paraId="3366214C" w14:textId="77777777" w:rsidR="00D354A2" w:rsidRPr="00D354A2" w:rsidRDefault="00D354A2" w:rsidP="00D354A2">
      <w:pPr>
        <w:pStyle w:val="-1"/>
      </w:pPr>
      <w:r w:rsidRPr="00D354A2">
        <w:rPr>
          <w:rFonts w:hint="eastAsia"/>
        </w:rPr>
        <w:t>策略与创意</w:t>
      </w:r>
    </w:p>
    <w:p w14:paraId="6DB7D1BD" w14:textId="2A996F66" w:rsidR="00D354A2" w:rsidRDefault="00D354A2" w:rsidP="00D354A2">
      <w:pPr>
        <w:pStyle w:val="-0"/>
      </w:pPr>
      <w:r>
        <w:rPr>
          <w:rFonts w:hint="eastAsia"/>
        </w:rPr>
        <w:t>在</w:t>
      </w:r>
      <w:r>
        <w:rPr>
          <w:rFonts w:hint="eastAsia"/>
        </w:rPr>
        <w:t>APP</w:t>
      </w:r>
      <w:r>
        <w:rPr>
          <w:rFonts w:hint="eastAsia"/>
        </w:rPr>
        <w:t>中搭建泛游戏化场景</w:t>
      </w:r>
      <w:r>
        <w:rPr>
          <w:rFonts w:hint="eastAsia"/>
        </w:rPr>
        <w:t>-</w:t>
      </w:r>
      <w:r>
        <w:rPr>
          <w:rFonts w:hint="eastAsia"/>
        </w:rPr>
        <w:t>筑梦空间，同时融入“庄园”养成特色功能，以赚取金币为主流程，而后通过金币兑换波豆。消耗波豆形成良性循环，提升波豆在用户心中的价值以此构成用户在非金融场景外打开宁波银行的动力。</w:t>
      </w:r>
    </w:p>
    <w:p w14:paraId="3FF63094" w14:textId="77777777" w:rsidR="00D354A2" w:rsidRDefault="00D354A2" w:rsidP="00D354A2">
      <w:pPr>
        <w:pStyle w:val="-1"/>
      </w:pPr>
      <w:r>
        <w:rPr>
          <w:rFonts w:hint="eastAsia"/>
        </w:rPr>
        <w:t>执行过程/媒体表现</w:t>
      </w:r>
    </w:p>
    <w:p w14:paraId="62B26D6A" w14:textId="77777777" w:rsidR="00D354A2" w:rsidRDefault="00D354A2" w:rsidP="00D354A2">
      <w:pPr>
        <w:pStyle w:val="-0"/>
      </w:pPr>
      <w:r>
        <w:rPr>
          <w:rFonts w:hint="eastAsia"/>
        </w:rPr>
        <w:t>用户研究阶段</w:t>
      </w:r>
    </w:p>
    <w:p w14:paraId="721C5891" w14:textId="77777777" w:rsidR="00D354A2" w:rsidRDefault="00D354A2" w:rsidP="00D354A2">
      <w:pPr>
        <w:pStyle w:val="-0"/>
      </w:pPr>
      <w:r>
        <w:t>&gt;</w:t>
      </w:r>
      <w:r>
        <w:rPr>
          <w:rFonts w:hint="eastAsia"/>
        </w:rPr>
        <w:t>采用多种研究方法结合，明确用户画像和喜好</w:t>
      </w:r>
    </w:p>
    <w:p w14:paraId="447EA371" w14:textId="77777777" w:rsidR="00D354A2" w:rsidRDefault="00D354A2" w:rsidP="00D354A2">
      <w:pPr>
        <w:pStyle w:val="-0"/>
      </w:pPr>
      <w:r>
        <w:rPr>
          <w:noProof/>
        </w:rPr>
        <w:lastRenderedPageBreak/>
        <w:drawing>
          <wp:inline distT="0" distB="0" distL="0" distR="0" wp14:anchorId="43D83376" wp14:editId="583B0C42">
            <wp:extent cx="5700395" cy="3065145"/>
            <wp:effectExtent l="0" t="0" r="1460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700395" cy="3065145"/>
                    </a:xfrm>
                    <a:prstGeom prst="rect">
                      <a:avLst/>
                    </a:prstGeom>
                  </pic:spPr>
                </pic:pic>
              </a:graphicData>
            </a:graphic>
          </wp:inline>
        </w:drawing>
      </w:r>
    </w:p>
    <w:p w14:paraId="49510E20" w14:textId="77777777" w:rsidR="00D354A2" w:rsidRDefault="00D354A2" w:rsidP="00D354A2">
      <w:pPr>
        <w:pStyle w:val="-0"/>
      </w:pPr>
      <w:r>
        <w:rPr>
          <w:rFonts w:hint="eastAsia"/>
        </w:rPr>
        <w:t>设计解决方案</w:t>
      </w:r>
    </w:p>
    <w:p w14:paraId="4597C6EE" w14:textId="77777777" w:rsidR="00D354A2" w:rsidRDefault="00D354A2" w:rsidP="00D354A2">
      <w:pPr>
        <w:pStyle w:val="-0"/>
      </w:pPr>
      <w:r>
        <w:t>&gt;</w:t>
      </w:r>
      <w:r>
        <w:rPr>
          <w:rFonts w:hint="eastAsia"/>
        </w:rPr>
        <w:t>创新运营模式分析</w:t>
      </w:r>
    </w:p>
    <w:p w14:paraId="4C49CBF2" w14:textId="5B535C0B" w:rsidR="00D354A2" w:rsidRDefault="00D354A2" w:rsidP="00D354A2">
      <w:pPr>
        <w:pStyle w:val="-0"/>
        <w:rPr>
          <w:lang w:eastAsia="zh-Hans"/>
        </w:rPr>
      </w:pPr>
      <w:r>
        <w:rPr>
          <w:rFonts w:hint="eastAsia"/>
          <w:lang w:eastAsia="zh-Hans"/>
        </w:rPr>
        <w:t>通过分析招商银行、拼多多、支付宝、淘宝、饿了么、百度等头部企业的创新运营模式，宁波银行从互动养成入手，覆盖各年龄圈层用户。</w:t>
      </w:r>
    </w:p>
    <w:p w14:paraId="1F7FE2DC" w14:textId="27FEF07C" w:rsidR="00D354A2" w:rsidRDefault="00D354A2" w:rsidP="00D354A2">
      <w:pPr>
        <w:pStyle w:val="-0"/>
      </w:pPr>
      <w:r>
        <w:rPr>
          <w:noProof/>
        </w:rPr>
        <w:drawing>
          <wp:inline distT="0" distB="0" distL="0" distR="0" wp14:anchorId="6C522A5F" wp14:editId="27307C05">
            <wp:extent cx="5720715" cy="28111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720715" cy="2811145"/>
                    </a:xfrm>
                    <a:prstGeom prst="rect">
                      <a:avLst/>
                    </a:prstGeom>
                  </pic:spPr>
                </pic:pic>
              </a:graphicData>
            </a:graphic>
          </wp:inline>
        </w:drawing>
      </w:r>
    </w:p>
    <w:p w14:paraId="091AA068" w14:textId="7A5C7A65" w:rsidR="00D354A2" w:rsidRDefault="00D354A2" w:rsidP="00D354A2">
      <w:pPr>
        <w:pStyle w:val="-0"/>
      </w:pPr>
      <w:r>
        <w:rPr>
          <w:noProof/>
        </w:rPr>
        <w:lastRenderedPageBreak/>
        <w:drawing>
          <wp:inline distT="0" distB="0" distL="0" distR="0" wp14:anchorId="0A1288E3" wp14:editId="041A215E">
            <wp:extent cx="5720715" cy="29921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720715" cy="2992120"/>
                    </a:xfrm>
                    <a:prstGeom prst="rect">
                      <a:avLst/>
                    </a:prstGeom>
                  </pic:spPr>
                </pic:pic>
              </a:graphicData>
            </a:graphic>
          </wp:inline>
        </w:drawing>
      </w:r>
    </w:p>
    <w:p w14:paraId="5D886955" w14:textId="77777777" w:rsidR="00D354A2" w:rsidRDefault="00D354A2" w:rsidP="00D354A2">
      <w:pPr>
        <w:pStyle w:val="-0"/>
      </w:pPr>
      <w:r>
        <w:t>&gt;</w:t>
      </w:r>
      <w:r>
        <w:rPr>
          <w:rFonts w:hint="eastAsia"/>
        </w:rPr>
        <w:t>解决方案设计</w:t>
      </w:r>
    </w:p>
    <w:p w14:paraId="553DBA85" w14:textId="77777777" w:rsidR="00D354A2" w:rsidRDefault="00D354A2" w:rsidP="00D354A2">
      <w:pPr>
        <w:pStyle w:val="-0"/>
        <w:rPr>
          <w:lang w:eastAsia="zh-Hans"/>
        </w:rPr>
      </w:pPr>
      <w:r>
        <w:rPr>
          <w:rFonts w:hint="eastAsia"/>
          <w:lang w:eastAsia="zh-Hans"/>
        </w:rPr>
        <w:t>搭建泛游戏化场景“筑梦空间”，以赚取金币兑换奖品为主线，并融入“裂变活动”、“养成”、“游戏”形成流量转化闭环，构建用户在非金融场景打开宁波银行的动力，并完成相关业务的办理。</w:t>
      </w:r>
    </w:p>
    <w:p w14:paraId="18C52A18" w14:textId="48D05B1E" w:rsidR="00D354A2" w:rsidRDefault="00D354A2" w:rsidP="00D354A2">
      <w:pPr>
        <w:pStyle w:val="-0"/>
      </w:pPr>
      <w:r>
        <w:rPr>
          <w:noProof/>
        </w:rPr>
        <w:drawing>
          <wp:inline distT="0" distB="0" distL="0" distR="0" wp14:anchorId="797ECFC3" wp14:editId="10F56A06">
            <wp:extent cx="5720715" cy="2711450"/>
            <wp:effectExtent l="0" t="0" r="196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t="12013"/>
                    <a:stretch>
                      <a:fillRect/>
                    </a:stretch>
                  </pic:blipFill>
                  <pic:spPr>
                    <a:xfrm>
                      <a:off x="0" y="0"/>
                      <a:ext cx="5720715" cy="2711450"/>
                    </a:xfrm>
                    <a:prstGeom prst="rect">
                      <a:avLst/>
                    </a:prstGeom>
                  </pic:spPr>
                </pic:pic>
              </a:graphicData>
            </a:graphic>
          </wp:inline>
        </w:drawing>
      </w:r>
    </w:p>
    <w:p w14:paraId="5EECA2F3" w14:textId="77777777" w:rsidR="00D354A2" w:rsidRDefault="00D354A2" w:rsidP="00D354A2">
      <w:pPr>
        <w:pStyle w:val="-0"/>
      </w:pPr>
      <w:r>
        <w:t>&gt;</w:t>
      </w:r>
      <w:r>
        <w:rPr>
          <w:rFonts w:hint="eastAsia"/>
        </w:rPr>
        <w:t>落地效果保障</w:t>
      </w:r>
    </w:p>
    <w:p w14:paraId="37342203" w14:textId="77777777" w:rsidR="00D354A2" w:rsidRDefault="00D354A2" w:rsidP="00D354A2">
      <w:pPr>
        <w:pStyle w:val="-0"/>
      </w:pPr>
      <w:r>
        <w:rPr>
          <w:rFonts w:hint="eastAsia"/>
        </w:rPr>
        <w:t>项目人员组件成直线项目组形式，包含产品、运营、设计、技术开发，实行每日日会、周会制度，做到快速响应</w:t>
      </w:r>
    </w:p>
    <w:p w14:paraId="6609AFD8" w14:textId="77777777" w:rsidR="00D354A2" w:rsidRDefault="00D354A2" w:rsidP="00D354A2">
      <w:pPr>
        <w:pStyle w:val="-0"/>
      </w:pPr>
      <w:r>
        <w:rPr>
          <w:rFonts w:hint="eastAsia"/>
        </w:rPr>
        <w:t>项目上线后，通过竞品分析、用户调研以及数据分析／</w:t>
      </w:r>
      <w:r>
        <w:rPr>
          <w:rFonts w:hint="eastAsia"/>
        </w:rPr>
        <w:t>AB</w:t>
      </w:r>
      <w:r>
        <w:rPr>
          <w:rFonts w:hint="eastAsia"/>
        </w:rPr>
        <w:t>测试，不断指导方案迭代</w:t>
      </w:r>
    </w:p>
    <w:p w14:paraId="1CABDABF" w14:textId="77777777" w:rsidR="00D354A2" w:rsidRDefault="00D354A2" w:rsidP="00D354A2">
      <w:pPr>
        <w:pStyle w:val="-0"/>
      </w:pPr>
    </w:p>
    <w:p w14:paraId="07F38CBC" w14:textId="77777777" w:rsidR="00D354A2" w:rsidRDefault="00D354A2" w:rsidP="00D354A2">
      <w:pPr>
        <w:pStyle w:val="-0"/>
      </w:pPr>
    </w:p>
    <w:p w14:paraId="256AB661" w14:textId="77777777" w:rsidR="00D354A2" w:rsidRDefault="00D354A2" w:rsidP="00D354A2">
      <w:pPr>
        <w:pStyle w:val="-1"/>
      </w:pPr>
      <w:r>
        <w:rPr>
          <w:rFonts w:hint="eastAsia"/>
        </w:rPr>
        <w:lastRenderedPageBreak/>
        <w:t>营销效果与市场反馈</w:t>
      </w:r>
    </w:p>
    <w:p w14:paraId="1F5D140E" w14:textId="0E9A1C59" w:rsidR="00BD10C8" w:rsidRPr="00D354A2" w:rsidRDefault="00D354A2" w:rsidP="00D354A2">
      <w:pPr>
        <w:pStyle w:val="-0"/>
      </w:pPr>
      <w:r>
        <w:rPr>
          <w:rFonts w:hint="eastAsia"/>
          <w:lang w:eastAsia="zh-Hans"/>
        </w:rPr>
        <w:t>活动</w:t>
      </w:r>
      <w:r>
        <w:rPr>
          <w:rFonts w:hint="eastAsia"/>
        </w:rPr>
        <w:t>数据表现：次日留存</w:t>
      </w:r>
      <w:r>
        <w:rPr>
          <w:rFonts w:hint="eastAsia"/>
        </w:rPr>
        <w:t>60%</w:t>
      </w:r>
      <w:r>
        <w:rPr>
          <w:rFonts w:hint="eastAsia"/>
        </w:rPr>
        <w:t>、次周留存</w:t>
      </w:r>
      <w:r>
        <w:rPr>
          <w:rFonts w:hint="eastAsia"/>
        </w:rPr>
        <w:t>50%</w:t>
      </w:r>
      <w:r>
        <w:rPr>
          <w:rFonts w:hint="eastAsia"/>
        </w:rPr>
        <w:t>，拉动</w:t>
      </w:r>
      <w:r>
        <w:rPr>
          <w:rFonts w:hint="eastAsia"/>
          <w:lang w:eastAsia="zh-Hans"/>
        </w:rPr>
        <w:t>宁波银行</w:t>
      </w:r>
      <w:r>
        <w:rPr>
          <w:lang w:eastAsia="zh-Hans"/>
        </w:rPr>
        <w:t>APP</w:t>
      </w:r>
      <w:r>
        <w:rPr>
          <w:rFonts w:hint="eastAsia"/>
          <w:lang w:eastAsia="zh-Hans"/>
        </w:rPr>
        <w:t>端</w:t>
      </w:r>
      <w:r>
        <w:rPr>
          <w:rFonts w:hint="eastAsia"/>
        </w:rPr>
        <w:t>30W</w:t>
      </w:r>
      <w:r>
        <w:rPr>
          <w:rFonts w:hint="eastAsia"/>
        </w:rPr>
        <w:t>用户活跃。</w:t>
      </w:r>
    </w:p>
    <w:sectPr w:rsidR="00BD10C8" w:rsidRPr="00D354A2">
      <w:headerReference w:type="even" r:id="rId11"/>
      <w:headerReference w:type="default" r:id="rId12"/>
      <w:footerReference w:type="even" r:id="rId13"/>
      <w:footerReference w:type="default" r:id="rId14"/>
      <w:headerReference w:type="first" r:id="rId15"/>
      <w:footerReference w:type="firs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A2A10" w14:textId="77777777" w:rsidR="000703C4" w:rsidRDefault="000703C4">
      <w:r>
        <w:separator/>
      </w:r>
    </w:p>
  </w:endnote>
  <w:endnote w:type="continuationSeparator" w:id="0">
    <w:p w14:paraId="65D68594" w14:textId="77777777" w:rsidR="000703C4" w:rsidRDefault="00070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1002AFF" w:usb1="C000ACF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A00B6" w14:textId="77777777" w:rsidR="00454098" w:rsidRDefault="00D354A2">
    <w:pPr>
      <w:pStyle w:val="a4"/>
      <w:framePr w:wrap="around" w:vAnchor="text" w:hAnchor="margin" w:xAlign="right" w:y="1"/>
      <w:rPr>
        <w:rStyle w:val="a8"/>
      </w:rPr>
    </w:pPr>
    <w:r>
      <w:fldChar w:fldCharType="begin"/>
    </w:r>
    <w:r>
      <w:rPr>
        <w:rStyle w:val="a8"/>
      </w:rPr>
      <w:instrText xml:space="preserve">PAGE  </w:instrText>
    </w:r>
    <w:r>
      <w:fldChar w:fldCharType="separate"/>
    </w:r>
    <w:r>
      <w:rPr>
        <w:rStyle w:val="a8"/>
      </w:rPr>
      <w:t>1</w:t>
    </w:r>
    <w:r>
      <w:fldChar w:fldCharType="end"/>
    </w:r>
  </w:p>
  <w:p w14:paraId="261A4127" w14:textId="77777777" w:rsidR="00454098" w:rsidRDefault="000703C4">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3C2CC" w14:textId="77777777" w:rsidR="00454098" w:rsidRDefault="000703C4">
    <w:pPr>
      <w:pStyle w:val="a4"/>
      <w:framePr w:wrap="around" w:vAnchor="text" w:hAnchor="margin" w:xAlign="right" w:y="1"/>
      <w:rPr>
        <w:rStyle w:val="a8"/>
      </w:rPr>
    </w:pPr>
  </w:p>
  <w:p w14:paraId="05A50D37" w14:textId="77777777" w:rsidR="00454098" w:rsidRDefault="000703C4">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DF4A5" w14:textId="77777777" w:rsidR="00454098" w:rsidRDefault="000703C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EF31FD" w14:textId="77777777" w:rsidR="000703C4" w:rsidRDefault="000703C4">
      <w:r>
        <w:separator/>
      </w:r>
    </w:p>
  </w:footnote>
  <w:footnote w:type="continuationSeparator" w:id="0">
    <w:p w14:paraId="3A591500" w14:textId="77777777" w:rsidR="000703C4" w:rsidRDefault="00070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11729" w14:textId="77777777" w:rsidR="00454098" w:rsidRDefault="000703C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57A58" w14:textId="77777777" w:rsidR="00454098" w:rsidRDefault="00D354A2">
    <w:pPr>
      <w:pStyle w:val="a6"/>
      <w:jc w:val="both"/>
      <w:rPr>
        <w:sz w:val="21"/>
      </w:rPr>
    </w:pPr>
    <w:r>
      <w:rPr>
        <w:b/>
        <w:noProof/>
        <w:color w:val="333333"/>
        <w:sz w:val="21"/>
      </w:rPr>
      <w:drawing>
        <wp:inline distT="0" distB="0" distL="0" distR="0" wp14:anchorId="05E180D2" wp14:editId="3717BB33">
          <wp:extent cx="881380" cy="44577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
                    <a:extLst>
                      <a:ext uri="{28A0092B-C50C-407E-A947-70E740481C1C}">
                        <a14:useLocalDpi xmlns:a14="http://schemas.microsoft.com/office/drawing/2010/main" val="0"/>
                      </a:ext>
                    </a:extLst>
                  </a:blip>
                  <a:srcRect t="15039" b="19783"/>
                  <a:stretch>
                    <a:fillRect/>
                  </a:stretch>
                </pic:blipFill>
                <pic:spPr>
                  <a:xfrm>
                    <a:off x="0" y="0"/>
                    <a:ext cx="904338" cy="457416"/>
                  </a:xfrm>
                  <a:prstGeom prst="rect">
                    <a:avLst/>
                  </a:prstGeom>
                  <a:ln>
                    <a:noFill/>
                  </a:ln>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11</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21E40" w14:textId="77777777" w:rsidR="00454098" w:rsidRDefault="000703C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E4B0323"/>
    <w:multiLevelType w:val="multilevel"/>
    <w:tmpl w:val="3E4B0323"/>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 w15:restartNumberingAfterBreak="0">
    <w:nsid w:val="6D97141A"/>
    <w:multiLevelType w:val="multilevel"/>
    <w:tmpl w:val="6D97141A"/>
    <w:lvl w:ilvl="0">
      <w:start w:val="1"/>
      <w:numFmt w:val="bullet"/>
      <w:lvlText w:val=""/>
      <w:lvlJc w:val="left"/>
      <w:pPr>
        <w:ind w:left="480" w:hanging="48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4A2"/>
    <w:rsid w:val="000703C4"/>
    <w:rsid w:val="0025090B"/>
    <w:rsid w:val="00572303"/>
    <w:rsid w:val="00907465"/>
    <w:rsid w:val="00C5731C"/>
    <w:rsid w:val="00D354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ACC48"/>
  <w15:chartTrackingRefBased/>
  <w15:docId w15:val="{652653B0-CF6B-2147-A1E1-CA9FCFEC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4A2"/>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案例类-大标题"/>
    <w:basedOn w:val="a"/>
    <w:autoRedefine/>
    <w:qFormat/>
    <w:rsid w:val="00D354A2"/>
    <w:pPr>
      <w:spacing w:beforeLines="100" w:before="100" w:afterLines="100" w:after="100"/>
      <w:jc w:val="center"/>
      <w:outlineLvl w:val="0"/>
    </w:pPr>
    <w:rPr>
      <w:rFonts w:eastAsia="微软雅黑"/>
      <w:b/>
      <w:sz w:val="32"/>
    </w:rPr>
  </w:style>
  <w:style w:type="paragraph" w:styleId="a3">
    <w:name w:val="No Spacing"/>
    <w:uiPriority w:val="1"/>
    <w:qFormat/>
    <w:rsid w:val="00C5731C"/>
    <w:pPr>
      <w:widowControl w:val="0"/>
      <w:jc w:val="both"/>
    </w:pPr>
  </w:style>
  <w:style w:type="paragraph" w:customStyle="1" w:styleId="-0">
    <w:name w:val="案例类-正文"/>
    <w:basedOn w:val="a"/>
    <w:autoRedefine/>
    <w:qFormat/>
    <w:rsid w:val="00C5731C"/>
    <w:pPr>
      <w:spacing w:before="100" w:beforeAutospacing="1" w:after="100" w:afterAutospacing="1"/>
      <w:jc w:val="left"/>
    </w:pPr>
    <w:rPr>
      <w:rFonts w:eastAsia="微软雅黑"/>
    </w:rPr>
  </w:style>
  <w:style w:type="paragraph" w:customStyle="1" w:styleId="-1">
    <w:name w:val="案例类-蓝色标题"/>
    <w:basedOn w:val="a"/>
    <w:autoRedefine/>
    <w:qFormat/>
    <w:rsid w:val="00D354A2"/>
    <w:pPr>
      <w:spacing w:after="100" w:afterAutospacing="1"/>
      <w:textAlignment w:val="baseline"/>
    </w:pPr>
    <w:rPr>
      <w:rFonts w:ascii="微软雅黑" w:eastAsia="微软雅黑" w:hAnsi="微软雅黑"/>
      <w:b/>
      <w:color w:val="0000FF"/>
      <w:sz w:val="28"/>
    </w:rPr>
  </w:style>
  <w:style w:type="paragraph" w:styleId="a4">
    <w:name w:val="footer"/>
    <w:basedOn w:val="a"/>
    <w:link w:val="a5"/>
    <w:qFormat/>
    <w:rsid w:val="00D354A2"/>
    <w:pPr>
      <w:tabs>
        <w:tab w:val="center" w:pos="4153"/>
        <w:tab w:val="right" w:pos="8306"/>
      </w:tabs>
      <w:snapToGrid w:val="0"/>
      <w:jc w:val="left"/>
    </w:pPr>
    <w:rPr>
      <w:sz w:val="18"/>
    </w:rPr>
  </w:style>
  <w:style w:type="character" w:customStyle="1" w:styleId="a5">
    <w:name w:val="页脚 字符"/>
    <w:basedOn w:val="a0"/>
    <w:link w:val="a4"/>
    <w:rsid w:val="00D354A2"/>
    <w:rPr>
      <w:rFonts w:ascii="Times New Roman" w:eastAsia="宋体" w:hAnsi="Times New Roman" w:cs="Times New Roman"/>
      <w:sz w:val="18"/>
      <w:szCs w:val="20"/>
    </w:rPr>
  </w:style>
  <w:style w:type="paragraph" w:styleId="a6">
    <w:name w:val="header"/>
    <w:basedOn w:val="a"/>
    <w:link w:val="a7"/>
    <w:qFormat/>
    <w:rsid w:val="00D354A2"/>
    <w:pPr>
      <w:pBdr>
        <w:bottom w:val="single" w:sz="6" w:space="1" w:color="auto"/>
      </w:pBdr>
      <w:tabs>
        <w:tab w:val="center" w:pos="4153"/>
        <w:tab w:val="right" w:pos="8306"/>
      </w:tabs>
      <w:snapToGrid w:val="0"/>
      <w:jc w:val="center"/>
    </w:pPr>
    <w:rPr>
      <w:sz w:val="18"/>
    </w:rPr>
  </w:style>
  <w:style w:type="character" w:customStyle="1" w:styleId="a7">
    <w:name w:val="页眉 字符"/>
    <w:basedOn w:val="a0"/>
    <w:link w:val="a6"/>
    <w:rsid w:val="00D354A2"/>
    <w:rPr>
      <w:rFonts w:ascii="Times New Roman" w:eastAsia="宋体" w:hAnsi="Times New Roman" w:cs="Times New Roman"/>
      <w:sz w:val="18"/>
      <w:szCs w:val="20"/>
    </w:rPr>
  </w:style>
  <w:style w:type="character" w:styleId="a8">
    <w:name w:val="page number"/>
    <w:basedOn w:val="a0"/>
    <w:qFormat/>
    <w:rsid w:val="00D354A2"/>
  </w:style>
  <w:style w:type="paragraph" w:customStyle="1" w:styleId="1">
    <w:name w:val="列表段落1"/>
    <w:basedOn w:val="a"/>
    <w:uiPriority w:val="34"/>
    <w:qFormat/>
    <w:rsid w:val="00D354A2"/>
    <w:pPr>
      <w:ind w:firstLineChars="200" w:firstLine="420"/>
    </w:pPr>
    <w:rPr>
      <w:rFonts w:ascii="Calibri" w:hAnsi="Calibri"/>
    </w:rPr>
  </w:style>
  <w:style w:type="paragraph" w:customStyle="1" w:styleId="p0">
    <w:name w:val="p0"/>
    <w:basedOn w:val="a"/>
    <w:qFormat/>
    <w:rsid w:val="00D354A2"/>
    <w:pPr>
      <w:widowControl/>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135</Words>
  <Characters>774</Characters>
  <Application>Microsoft Office Word</Application>
  <DocSecurity>0</DocSecurity>
  <Lines>6</Lines>
  <Paragraphs>1</Paragraphs>
  <ScaleCrop>false</ScaleCrop>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yeziapp</dc:creator>
  <cp:keywords/>
  <dc:description/>
  <cp:lastModifiedBy>yeziapp</cp:lastModifiedBy>
  <cp:revision>2</cp:revision>
  <dcterms:created xsi:type="dcterms:W3CDTF">2021-02-03T07:20:00Z</dcterms:created>
  <dcterms:modified xsi:type="dcterms:W3CDTF">2021-02-26T08:03:00Z</dcterms:modified>
</cp:coreProperties>
</file>