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ASML2020品牌整合传播项目</w:t>
      </w:r>
    </w:p>
    <w:bookmarkEnd w:id="0"/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ASML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半导体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.06.12-1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.22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数字媒体整合类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当前，芯片行业发展正迎来发展的新机遇，海量数据、云端计算、人工智能正不断带来新的应用和服务。但半导体人才稀缺是不容忽视的掣肘。</w:t>
      </w:r>
      <w:r>
        <w:rPr>
          <w:rFonts w:ascii="微软雅黑" w:hAnsi="微软雅黑" w:eastAsia="微软雅黑"/>
          <w:sz w:val="21"/>
          <w:szCs w:val="21"/>
        </w:rPr>
        <w:t>ASML聚焦行业年轻血液Gen Z一代，希望借此项目沟通Gen Z一代，增加Gen Z一代对工程师一职的好感和荣誉感。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提升ASML在中国市场目标受众的品牌认知度；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树立ASML在科技领域的品牌领导力，拉动品牌好感度；</w:t>
      </w:r>
    </w:p>
    <w:p>
      <w:pPr>
        <w:pStyle w:val="2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Chars="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Cs w:val="21"/>
        </w:rPr>
        <w:t>通过品牌形象的塑造，带动人才招聘的简历收集。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Gen Z一代出生于数字时代，青睐自我定义、张扬个性与挖掘真实。如何与他们建立关联极富挑战性。通过调研分析，ASML发现，“真实”是对Gen</w:t>
      </w:r>
      <w:r>
        <w:rPr>
          <w:rFonts w:ascii="微软雅黑" w:hAnsi="微软雅黑" w:eastAsia="微软雅黑"/>
          <w:sz w:val="21"/>
          <w:szCs w:val="21"/>
        </w:rPr>
        <w:t xml:space="preserve"> Z</w:t>
      </w:r>
      <w:r>
        <w:rPr>
          <w:rFonts w:hint="eastAsia" w:ascii="微软雅黑" w:hAnsi="微软雅黑" w:eastAsia="微软雅黑"/>
          <w:sz w:val="21"/>
          <w:szCs w:val="21"/>
        </w:rPr>
        <w:t>一代最贴切的注脚。因此ASML以“解锁工程师真相”为主张，针对不同受众，挖掘各个面向的“工程师真相”。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作为全球芯片光刻技术的领导者，</w:t>
      </w:r>
      <w:r>
        <w:rPr>
          <w:rFonts w:ascii="微软雅黑" w:hAnsi="微软雅黑" w:eastAsia="微软雅黑"/>
          <w:bCs/>
          <w:sz w:val="21"/>
          <w:szCs w:val="21"/>
        </w:rPr>
        <w:t>ASML重视行业人才的培养与沟通。ASML以“解锁工程师真相”为主张，通过策划一场跨界对话的社会实验、一个极具挑战的光刻之路计时挑战赛、一次行业盛会上的圆桌讨论，吸引大家为工程师正名、为他们不惧挑战的精神点赞。同时借力线上线下各渠道的协同配合，将活动短时间内迅速曝光，吸引大量用户的兴趣和互动，以此帮助打破社会对工程师的偏见，增强学生和工程师对工程师这一职业的自豪感，继而提升ASML在潜在雇员心中的品牌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引爆：创意视频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ASML发起了一场工程师与非工程师的对话，并制作成了视频，旨在增加对工程师一职的关注、增强行业从业人员作为工程师的自豪感。ASML通过全面而又精准的渠道推广如B站、抖音、微信，广告与内容营销相结合，最大程度地引爆话题，扩大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drawing>
          <wp:inline distT="0" distB="0" distL="0" distR="0">
            <wp:extent cx="3746500" cy="3136265"/>
            <wp:effectExtent l="0" t="0" r="635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1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Bilibili ASML官方账号视频链接：</w:t>
      </w:r>
      <w:r>
        <w:rPr>
          <w:rFonts w:hint="default" w:ascii="Helvetica" w:hAnsi="Helvetica" w:eastAsia="Helvetica" w:cs="Helvetica"/>
          <w:i w:val="0"/>
          <w:caps w:val="0"/>
          <w:color w:val="337AB7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337AB7"/>
          <w:spacing w:val="0"/>
          <w:sz w:val="21"/>
          <w:szCs w:val="21"/>
          <w:u w:val="single"/>
          <w:shd w:val="clear" w:fill="FFFFFF"/>
        </w:rPr>
        <w:instrText xml:space="preserve"> HYPERLINK "https://www.bilibili.com/video/BV1W54y1Q7ex" </w:instrText>
      </w:r>
      <w:r>
        <w:rPr>
          <w:rFonts w:hint="default" w:ascii="Helvetica" w:hAnsi="Helvetica" w:eastAsia="Helvetica" w:cs="Helvetica"/>
          <w:i w:val="0"/>
          <w:caps w:val="0"/>
          <w:color w:val="337AB7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16"/>
          <w:rFonts w:hint="default" w:ascii="Helvetica" w:hAnsi="Helvetica" w:eastAsia="Helvetica" w:cs="Helvetica"/>
          <w:i w:val="0"/>
          <w:caps w:val="0"/>
          <w:color w:val="337AB7"/>
          <w:spacing w:val="0"/>
          <w:sz w:val="21"/>
          <w:szCs w:val="21"/>
          <w:u w:val="single"/>
          <w:shd w:val="clear" w:fill="FFFFFF"/>
        </w:rPr>
        <w:t>https://www.bilibili.com/video/BV1W54y1Q7ex</w:t>
      </w:r>
      <w:r>
        <w:rPr>
          <w:rFonts w:hint="default" w:ascii="Helvetica" w:hAnsi="Helvetica" w:eastAsia="Helvetica" w:cs="Helvetica"/>
          <w:i w:val="0"/>
          <w:caps w:val="0"/>
          <w:color w:val="337AB7"/>
          <w:spacing w:val="0"/>
          <w:sz w:val="21"/>
          <w:szCs w:val="21"/>
          <w:u w:val="single"/>
          <w:shd w:val="clear" w:fill="FFFFFF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最终影响覆盖超过1</w:t>
      </w:r>
      <w:r>
        <w:rPr>
          <w:rFonts w:ascii="微软雅黑" w:hAnsi="微软雅黑" w:eastAsia="微软雅黑"/>
          <w:bCs/>
          <w:sz w:val="21"/>
          <w:szCs w:val="21"/>
        </w:rPr>
        <w:t>270</w:t>
      </w:r>
      <w:r>
        <w:rPr>
          <w:rFonts w:hint="eastAsia" w:ascii="微软雅黑" w:hAnsi="微软雅黑" w:eastAsia="微软雅黑"/>
          <w:bCs/>
          <w:sz w:val="21"/>
          <w:szCs w:val="21"/>
        </w:rPr>
        <w:t>万人，互动人数约1</w:t>
      </w:r>
      <w:r>
        <w:rPr>
          <w:rFonts w:ascii="微软雅黑" w:hAnsi="微软雅黑" w:eastAsia="微软雅黑"/>
          <w:bCs/>
          <w:sz w:val="21"/>
          <w:szCs w:val="21"/>
        </w:rPr>
        <w:t>30</w:t>
      </w:r>
      <w:r>
        <w:rPr>
          <w:rFonts w:hint="eastAsia" w:ascii="微软雅黑" w:hAnsi="微软雅黑" w:eastAsia="微软雅黑"/>
          <w:bCs/>
          <w:sz w:val="21"/>
          <w:szCs w:val="21"/>
        </w:rPr>
        <w:t>万人。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互动：光刻游戏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在充分引发话题讨论度后，ASML通过光刻互动小游戏，让用户在真实互动中增加对光刻技术的了解，也侧面凸显了工程师需要不断挑战困难、突破自我的精神。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sz w:val="21"/>
          <w:szCs w:val="21"/>
        </w:rPr>
        <w:drawing>
          <wp:inline distT="0" distB="0" distL="114300" distR="114300">
            <wp:extent cx="4023360" cy="3887470"/>
            <wp:effectExtent l="0" t="0" r="1524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最终影响覆盖7</w:t>
      </w:r>
      <w:r>
        <w:rPr>
          <w:rFonts w:ascii="微软雅黑" w:hAnsi="微软雅黑" w:eastAsia="微软雅黑"/>
          <w:bCs/>
          <w:sz w:val="21"/>
          <w:szCs w:val="21"/>
        </w:rPr>
        <w:t>50</w:t>
      </w:r>
      <w:r>
        <w:rPr>
          <w:rFonts w:hint="eastAsia" w:ascii="微软雅黑" w:hAnsi="微软雅黑" w:eastAsia="微软雅黑"/>
          <w:bCs/>
          <w:sz w:val="21"/>
          <w:szCs w:val="21"/>
        </w:rPr>
        <w:t>万人，互动人数超过1</w:t>
      </w:r>
      <w:r>
        <w:rPr>
          <w:rFonts w:ascii="微软雅黑" w:hAnsi="微软雅黑" w:eastAsia="微软雅黑"/>
          <w:bCs/>
          <w:sz w:val="21"/>
          <w:szCs w:val="21"/>
        </w:rPr>
        <w:t>1</w:t>
      </w:r>
      <w:r>
        <w:rPr>
          <w:rFonts w:hint="eastAsia" w:ascii="微软雅黑" w:hAnsi="微软雅黑" w:eastAsia="微软雅黑"/>
          <w:bCs/>
          <w:sz w:val="21"/>
          <w:szCs w:val="21"/>
        </w:rPr>
        <w:t>万人。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转化：S</w:t>
      </w:r>
      <w:r>
        <w:rPr>
          <w:rFonts w:ascii="微软雅黑" w:hAnsi="微软雅黑" w:eastAsia="微软雅黑"/>
          <w:b/>
          <w:sz w:val="21"/>
          <w:szCs w:val="21"/>
        </w:rPr>
        <w:t>EMICON</w:t>
      </w:r>
      <w:r>
        <w:rPr>
          <w:rFonts w:hint="eastAsia" w:ascii="微软雅黑" w:hAnsi="微软雅黑" w:eastAsia="微软雅黑"/>
          <w:b/>
          <w:sz w:val="21"/>
          <w:szCs w:val="21"/>
        </w:rPr>
        <w:t>圆桌讨论会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在行业的注意力高地——SEMICON展会期间，ASML围绕学生和工程师关心的问题，举行了一场线上圆桌讨论会，会上邀请了ASML中国总裁沈波、ASML中国技术专家、及ASML中国HR负责人就半导体人才现状、趋势等话题进行观点分享，同时也现场解答了很多直播间活跃用户的留言和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Cs/>
          <w:sz w:val="21"/>
          <w:szCs w:val="21"/>
        </w:rPr>
      </w:pPr>
      <w:r>
        <w:rPr>
          <w:rFonts w:ascii="微软雅黑" w:hAnsi="微软雅黑" w:eastAsia="微软雅黑"/>
          <w:bCs/>
          <w:sz w:val="21"/>
          <w:szCs w:val="21"/>
        </w:rPr>
        <w:drawing>
          <wp:inline distT="0" distB="0" distL="0" distR="0">
            <wp:extent cx="4425950" cy="2641600"/>
            <wp:effectExtent l="0" t="0" r="12700" b="635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31"/>
                    <a:stretch>
                      <a:fillRect/>
                    </a:stretch>
                  </pic:blipFill>
                  <pic:spPr>
                    <a:xfrm>
                      <a:off x="0" y="0"/>
                      <a:ext cx="4427736" cy="264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最终影响覆盖1</w:t>
      </w:r>
      <w:r>
        <w:rPr>
          <w:rFonts w:ascii="微软雅黑" w:hAnsi="微软雅黑" w:eastAsia="微软雅黑"/>
          <w:bCs/>
          <w:sz w:val="21"/>
          <w:szCs w:val="21"/>
        </w:rPr>
        <w:t>00</w:t>
      </w:r>
      <w:r>
        <w:rPr>
          <w:rFonts w:hint="eastAsia" w:ascii="微软雅黑" w:hAnsi="微软雅黑" w:eastAsia="微软雅黑"/>
          <w:bCs/>
          <w:sz w:val="21"/>
          <w:szCs w:val="21"/>
        </w:rPr>
        <w:t>万人，超过3</w:t>
      </w:r>
      <w:r>
        <w:rPr>
          <w:rFonts w:ascii="微软雅黑" w:hAnsi="微软雅黑" w:eastAsia="微软雅黑"/>
          <w:bCs/>
          <w:sz w:val="21"/>
          <w:szCs w:val="21"/>
        </w:rPr>
        <w:t>5000</w:t>
      </w:r>
      <w:r>
        <w:rPr>
          <w:rFonts w:hint="eastAsia" w:ascii="微软雅黑" w:hAnsi="微软雅黑" w:eastAsia="微软雅黑"/>
          <w:bCs/>
          <w:sz w:val="21"/>
          <w:szCs w:val="21"/>
        </w:rPr>
        <w:t>人参与互动</w:t>
      </w:r>
      <w:r>
        <w:rPr>
          <w:rFonts w:hint="eastAsia" w:ascii="微软雅黑" w:hAnsi="微软雅黑" w:eastAsia="微软雅黑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color w:val="FF0000"/>
          <w:sz w:val="20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Cs/>
          <w:sz w:val="21"/>
          <w:szCs w:val="22"/>
        </w:rPr>
      </w:pPr>
      <w:r>
        <w:rPr>
          <w:rFonts w:hint="eastAsia" w:ascii="微软雅黑" w:hAnsi="微软雅黑" w:eastAsia="微软雅黑"/>
          <w:bCs/>
          <w:sz w:val="21"/>
          <w:szCs w:val="22"/>
        </w:rPr>
        <w:t>整个整合营销项目，最终影响覆盖超过2</w:t>
      </w:r>
      <w:r>
        <w:rPr>
          <w:rFonts w:ascii="微软雅黑" w:hAnsi="微软雅黑" w:eastAsia="微软雅黑"/>
          <w:bCs/>
          <w:sz w:val="21"/>
          <w:szCs w:val="22"/>
        </w:rPr>
        <w:t>200</w:t>
      </w:r>
      <w:r>
        <w:rPr>
          <w:rFonts w:hint="eastAsia" w:ascii="微软雅黑" w:hAnsi="微软雅黑" w:eastAsia="微软雅黑"/>
          <w:bCs/>
          <w:sz w:val="21"/>
          <w:szCs w:val="22"/>
        </w:rPr>
        <w:t>万人，超过1</w:t>
      </w:r>
      <w:r>
        <w:rPr>
          <w:rFonts w:ascii="微软雅黑" w:hAnsi="微软雅黑" w:eastAsia="微软雅黑"/>
          <w:bCs/>
          <w:sz w:val="21"/>
          <w:szCs w:val="22"/>
        </w:rPr>
        <w:t>40</w:t>
      </w:r>
      <w:r>
        <w:rPr>
          <w:rFonts w:hint="eastAsia" w:ascii="微软雅黑" w:hAnsi="微软雅黑" w:eastAsia="微软雅黑"/>
          <w:bCs/>
          <w:sz w:val="21"/>
          <w:szCs w:val="22"/>
        </w:rPr>
        <w:t>万人参与互动，共计收到超过5</w:t>
      </w:r>
      <w:r>
        <w:rPr>
          <w:rFonts w:ascii="微软雅黑" w:hAnsi="微软雅黑" w:eastAsia="微软雅黑"/>
          <w:bCs/>
          <w:sz w:val="21"/>
          <w:szCs w:val="22"/>
        </w:rPr>
        <w:t>000</w:t>
      </w:r>
      <w:r>
        <w:rPr>
          <w:rFonts w:hint="eastAsia" w:ascii="微软雅黑" w:hAnsi="微软雅黑" w:eastAsia="微软雅黑"/>
          <w:bCs/>
          <w:sz w:val="21"/>
          <w:szCs w:val="22"/>
        </w:rPr>
        <w:t>份简历。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leftChars="0" w:firstLine="0" w:firstLineChars="0"/>
        <w:rPr>
          <w:rFonts w:ascii="微软雅黑" w:hAnsi="微软雅黑" w:eastAsia="微软雅黑"/>
          <w:color w:val="FF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41F"/>
    <w:multiLevelType w:val="multilevel"/>
    <w:tmpl w:val="31C5041F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3F93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77486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0721C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D0532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1022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55EF"/>
    <w:rsid w:val="00C171FB"/>
    <w:rsid w:val="00C272F9"/>
    <w:rsid w:val="00C40E03"/>
    <w:rsid w:val="00C5015C"/>
    <w:rsid w:val="00C516C8"/>
    <w:rsid w:val="00C657FA"/>
    <w:rsid w:val="00C73B42"/>
    <w:rsid w:val="00C81E6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0DB0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11066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25F07F83"/>
    <w:rsid w:val="4DA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258</Words>
  <Characters>1476</Characters>
  <Lines>12</Lines>
  <Paragraphs>3</Paragraphs>
  <TotalTime>1</TotalTime>
  <ScaleCrop>false</ScaleCrop>
  <LinksUpToDate>false</LinksUpToDate>
  <CharactersWithSpaces>1731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2021-03-01T08:04:23Z</dcterms:modified>
  <dc:title>No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