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46B6FE" w14:textId="5E453D56" w:rsidR="004B651C" w:rsidRDefault="004370F6">
      <w:pPr>
        <w:pStyle w:val="p0"/>
        <w:shd w:val="clear" w:color="auto" w:fill="FFFFFF"/>
        <w:autoSpaceDN w:val="0"/>
        <w:spacing w:beforeLines="100" w:before="240" w:afterLines="100" w:after="240"/>
        <w:jc w:val="center"/>
        <w:textAlignment w:val="baseline"/>
        <w:rPr>
          <w:rFonts w:ascii="微软雅黑" w:eastAsia="微软雅黑" w:hAnsi="微软雅黑"/>
          <w:b/>
          <w:color w:val="FF0000"/>
        </w:rPr>
      </w:pPr>
      <w:r w:rsidRPr="004370F6">
        <w:rPr>
          <w:rFonts w:ascii="微软雅黑" w:eastAsia="微软雅黑" w:hAnsi="微软雅黑" w:hint="eastAsia"/>
          <w:b/>
          <w:sz w:val="32"/>
          <w:szCs w:val="32"/>
        </w:rPr>
        <w:t>上海微盟企业发展有限公司</w:t>
      </w:r>
    </w:p>
    <w:p w14:paraId="3F1D4A5F" w14:textId="3F82CC42" w:rsidR="004B651C" w:rsidRDefault="000E2723">
      <w:pPr>
        <w:textAlignment w:val="baseline"/>
        <w:rPr>
          <w:rFonts w:ascii="微软雅黑" w:eastAsia="微软雅黑" w:hAnsi="微软雅黑"/>
          <w:bCs/>
        </w:rPr>
      </w:pPr>
      <w:r>
        <w:rPr>
          <w:rFonts w:ascii="微软雅黑" w:eastAsia="微软雅黑" w:hAnsi="微软雅黑" w:hint="eastAsia"/>
          <w:b/>
        </w:rPr>
        <w:t>官方网址：</w:t>
      </w:r>
      <w:r w:rsidR="00BD1BA5">
        <w:fldChar w:fldCharType="begin"/>
      </w:r>
      <w:r w:rsidR="00BD1BA5">
        <w:instrText xml:space="preserve"> HYPERLINK "http://www.weimob.com/" </w:instrText>
      </w:r>
      <w:r w:rsidR="00BD1BA5">
        <w:fldChar w:fldCharType="separate"/>
      </w:r>
      <w:r>
        <w:rPr>
          <w:rStyle w:val="af0"/>
          <w:rFonts w:ascii="微软雅黑" w:eastAsia="微软雅黑" w:hAnsi="微软雅黑" w:hint="eastAsia"/>
          <w:bCs/>
        </w:rPr>
        <w:t>http://www.weimob.com/</w:t>
      </w:r>
      <w:r w:rsidR="00BD1BA5">
        <w:rPr>
          <w:rStyle w:val="af0"/>
          <w:rFonts w:ascii="微软雅黑" w:eastAsia="微软雅黑" w:hAnsi="微软雅黑"/>
          <w:bCs/>
        </w:rPr>
        <w:fldChar w:fldCharType="end"/>
      </w:r>
      <w:r w:rsidR="00341844">
        <w:rPr>
          <w:rFonts w:ascii="微软雅黑" w:eastAsia="微软雅黑" w:hAnsi="微软雅黑" w:hint="eastAsia"/>
          <w:bCs/>
        </w:rPr>
        <w:t>、</w:t>
      </w:r>
      <w:r w:rsidR="00BD1BA5">
        <w:fldChar w:fldCharType="begin"/>
      </w:r>
      <w:r w:rsidR="00BD1BA5">
        <w:instrText xml:space="preserve"> HYPERLINK "http://mj.weimob.net/" </w:instrText>
      </w:r>
      <w:r w:rsidR="00BD1BA5">
        <w:fldChar w:fldCharType="separate"/>
      </w:r>
      <w:r>
        <w:rPr>
          <w:rStyle w:val="af0"/>
          <w:rFonts w:ascii="微软雅黑" w:eastAsia="微软雅黑" w:hAnsi="微软雅黑" w:hint="eastAsia"/>
          <w:bCs/>
        </w:rPr>
        <w:t>http://mj.weimob.net/</w:t>
      </w:r>
      <w:r w:rsidR="00BD1BA5">
        <w:rPr>
          <w:rStyle w:val="af0"/>
          <w:rFonts w:ascii="微软雅黑" w:eastAsia="微软雅黑" w:hAnsi="微软雅黑"/>
          <w:bCs/>
        </w:rPr>
        <w:fldChar w:fldCharType="end"/>
      </w:r>
    </w:p>
    <w:p w14:paraId="61BAF6C7" w14:textId="112E2FF5" w:rsidR="004B651C" w:rsidRDefault="000E2723">
      <w:pPr>
        <w:rPr>
          <w:rFonts w:ascii="微软雅黑" w:eastAsia="微软雅黑" w:hAnsi="微软雅黑"/>
          <w:color w:val="FF0000"/>
          <w:kern w:val="0"/>
        </w:rPr>
      </w:pPr>
      <w:r>
        <w:rPr>
          <w:rFonts w:ascii="微软雅黑" w:eastAsia="微软雅黑" w:hAnsi="微软雅黑" w:hint="eastAsia"/>
          <w:b/>
        </w:rPr>
        <w:t>参选类别：</w:t>
      </w:r>
      <w:r w:rsidR="004370F6" w:rsidRPr="004370F6">
        <w:rPr>
          <w:rFonts w:ascii="微软雅黑" w:eastAsia="微软雅黑" w:hAnsi="微软雅黑" w:hint="eastAsia"/>
        </w:rPr>
        <w:t>年度数字营销影响力代理公司</w:t>
      </w:r>
    </w:p>
    <w:p w14:paraId="5C2DF72F" w14:textId="4A77A454" w:rsidR="004B651C" w:rsidRDefault="000E2723" w:rsidP="004370F6">
      <w:pPr>
        <w:spacing w:before="100" w:beforeAutospacing="1" w:after="100" w:afterAutospacing="1"/>
        <w:rPr>
          <w:rFonts w:ascii="微软雅黑" w:eastAsia="微软雅黑" w:hAnsi="微软雅黑"/>
          <w:b/>
          <w:color w:val="0000FF"/>
          <w:sz w:val="28"/>
          <w:szCs w:val="24"/>
        </w:rPr>
      </w:pPr>
      <w:r>
        <w:rPr>
          <w:rFonts w:ascii="微软雅黑" w:eastAsia="微软雅黑" w:hAnsi="微软雅黑" w:hint="eastAsia"/>
          <w:b/>
          <w:color w:val="0000FF"/>
          <w:sz w:val="28"/>
          <w:szCs w:val="24"/>
        </w:rPr>
        <w:t>公司简介及核心优势</w:t>
      </w:r>
    </w:p>
    <w:p w14:paraId="5612506A" w14:textId="77777777" w:rsidR="004370F6" w:rsidRDefault="000E2723" w:rsidP="004370F6">
      <w:pPr>
        <w:spacing w:before="100" w:beforeAutospacing="1" w:after="100" w:afterAutospacing="1"/>
        <w:rPr>
          <w:rFonts w:ascii="微软雅黑" w:eastAsia="微软雅黑" w:hAnsi="微软雅黑"/>
          <w:bCs/>
        </w:rPr>
      </w:pPr>
      <w:r>
        <w:rPr>
          <w:rFonts w:ascii="微软雅黑" w:eastAsia="微软雅黑" w:hAnsi="微软雅黑" w:hint="eastAsia"/>
          <w:bCs/>
        </w:rPr>
        <w:t>微盟，香港主板上市企业（股票代码：2013.HK）, 成立于2013年4月，现有员工超5000人，全球代理商超过1600家，入驻商户突破300万家。</w:t>
      </w:r>
    </w:p>
    <w:p w14:paraId="5B653D44" w14:textId="6935F559" w:rsidR="004B651C" w:rsidRDefault="000E2723" w:rsidP="004370F6">
      <w:pPr>
        <w:spacing w:before="100" w:beforeAutospacing="1" w:after="100" w:afterAutospacing="1"/>
        <w:rPr>
          <w:rFonts w:ascii="微软雅黑" w:eastAsia="微软雅黑" w:hAnsi="微软雅黑"/>
          <w:bCs/>
        </w:rPr>
      </w:pPr>
      <w:r>
        <w:rPr>
          <w:rFonts w:ascii="微软雅黑" w:eastAsia="微软雅黑" w:hAnsi="微软雅黑" w:hint="eastAsia"/>
          <w:bCs/>
        </w:rPr>
        <w:t>微盟是中国领军的企业云端商业及营销解决方案提供商，同时也是中国领军的腾讯社交网络服务平台中小企业精准营销服务提供商。微盟精准营销业务以大数据、智能算法、营销自动化等技术及优质媒体源，为广告主提供包括微信朋友圈广告、微信公众号广告、QQ广告、腾讯新闻信息流广告、腾讯视频信息流广告、今日头条广告 、抖音广告、穿山甲广告等移动广告投放服务。</w:t>
      </w:r>
    </w:p>
    <w:p w14:paraId="104E94CE" w14:textId="17A3E0BB" w:rsidR="004B651C" w:rsidRDefault="000E2723" w:rsidP="004370F6">
      <w:pPr>
        <w:spacing w:before="100" w:beforeAutospacing="1" w:after="100" w:afterAutospacing="1"/>
        <w:rPr>
          <w:rFonts w:ascii="微软雅黑" w:eastAsia="微软雅黑" w:hAnsi="微软雅黑"/>
          <w:bCs/>
        </w:rPr>
      </w:pPr>
      <w:r>
        <w:rPr>
          <w:rFonts w:ascii="微软雅黑" w:eastAsia="微软雅黑" w:hAnsi="微软雅黑" w:hint="eastAsia"/>
          <w:bCs/>
        </w:rPr>
        <w:t>凭借专业的运营团队为广告主提供一站式精准移动广告投放服务，连续四年荣获腾讯广告区域及中长尾渠道年度最佳合作伙伴，并多次荣获腾讯广告大客户服务金牌服务商奖，同时微盟服务的营销案例也获得行业认可，获得艾菲效果营销奖、金投赏商业创意奖、</w:t>
      </w:r>
      <w:proofErr w:type="spellStart"/>
      <w:r>
        <w:rPr>
          <w:rFonts w:ascii="微软雅黑" w:eastAsia="微软雅黑" w:hAnsi="微软雅黑" w:hint="eastAsia"/>
          <w:bCs/>
        </w:rPr>
        <w:t>TopDigital</w:t>
      </w:r>
      <w:proofErr w:type="spellEnd"/>
      <w:r>
        <w:rPr>
          <w:rFonts w:ascii="微软雅黑" w:eastAsia="微软雅黑" w:hAnsi="微软雅黑" w:hint="eastAsia"/>
          <w:bCs/>
        </w:rPr>
        <w:t>营销专项奖等。</w:t>
      </w:r>
    </w:p>
    <w:p w14:paraId="2D897881" w14:textId="25AD98F9" w:rsidR="004B651C" w:rsidRPr="004370F6" w:rsidRDefault="000E2723" w:rsidP="004370F6">
      <w:pPr>
        <w:spacing w:before="100" w:beforeAutospacing="1" w:after="100" w:afterAutospacing="1"/>
        <w:jc w:val="center"/>
        <w:rPr>
          <w:rFonts w:ascii="微软雅黑" w:eastAsia="微软雅黑" w:hAnsi="微软雅黑"/>
          <w:bCs/>
        </w:rPr>
      </w:pPr>
      <w:r>
        <w:rPr>
          <w:rFonts w:ascii="微软雅黑" w:eastAsia="微软雅黑" w:hAnsi="微软雅黑" w:hint="eastAsia"/>
          <w:bCs/>
          <w:noProof/>
        </w:rPr>
        <w:drawing>
          <wp:inline distT="0" distB="0" distL="114300" distR="114300" wp14:anchorId="454FFEDB" wp14:editId="0A2417B1">
            <wp:extent cx="3025423" cy="4033897"/>
            <wp:effectExtent l="0" t="0" r="0" b="0"/>
            <wp:docPr id="1" name="图片 1" descr="d03038f484a9d4c495286326fd490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3038f484a9d4c495286326fd490c4"/>
                    <pic:cNvPicPr>
                      <a:picLocks noChangeAspect="1"/>
                    </pic:cNvPicPr>
                  </pic:nvPicPr>
                  <pic:blipFill>
                    <a:blip r:embed="rId9"/>
                    <a:stretch>
                      <a:fillRect/>
                    </a:stretch>
                  </pic:blipFill>
                  <pic:spPr>
                    <a:xfrm>
                      <a:off x="0" y="0"/>
                      <a:ext cx="3029713" cy="4039618"/>
                    </a:xfrm>
                    <a:prstGeom prst="rect">
                      <a:avLst/>
                    </a:prstGeom>
                  </pic:spPr>
                </pic:pic>
              </a:graphicData>
            </a:graphic>
          </wp:inline>
        </w:drawing>
      </w:r>
    </w:p>
    <w:p w14:paraId="0DE0BDA4" w14:textId="77777777" w:rsidR="004B651C" w:rsidRDefault="000E2723" w:rsidP="004370F6">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数字营销领域突出成绩</w:t>
      </w:r>
    </w:p>
    <w:p w14:paraId="5E17D495" w14:textId="0FD260BA" w:rsidR="004B651C" w:rsidRDefault="000E2723" w:rsidP="004370F6">
      <w:pPr>
        <w:spacing w:before="100" w:beforeAutospacing="1" w:after="100" w:afterAutospacing="1"/>
        <w:textAlignment w:val="baseline"/>
        <w:rPr>
          <w:rFonts w:ascii="微软雅黑" w:eastAsia="微软雅黑" w:hAnsi="微软雅黑"/>
          <w:bCs/>
          <w:szCs w:val="21"/>
        </w:rPr>
      </w:pPr>
      <w:r>
        <w:rPr>
          <w:rFonts w:ascii="微软雅黑" w:eastAsia="微软雅黑" w:hAnsi="微软雅黑" w:hint="eastAsia"/>
          <w:bCs/>
          <w:szCs w:val="21"/>
        </w:rPr>
        <w:lastRenderedPageBreak/>
        <w:t>近年来,广告营销行业历经了流量红利消退、私域流量崛起等多重变革,同时伴随着2020年经济形势下行压力加剧,企业越来越重视品效合一,深化营销数字化布局。这意味着,企业的广告合作伙伴需要更加迅速地响应营销新需求,以扎实的市场洞察与传播策略,助力品牌客户实现业绩高效增长。</w:t>
      </w:r>
    </w:p>
    <w:p w14:paraId="55D4F243" w14:textId="14D57200" w:rsidR="004B651C" w:rsidRDefault="000E2723" w:rsidP="004370F6">
      <w:pPr>
        <w:spacing w:before="100" w:beforeAutospacing="1" w:after="100" w:afterAutospacing="1"/>
        <w:textAlignment w:val="baseline"/>
        <w:rPr>
          <w:rFonts w:ascii="微软雅黑" w:eastAsia="微软雅黑" w:hAnsi="微软雅黑"/>
          <w:bCs/>
          <w:szCs w:val="21"/>
        </w:rPr>
      </w:pPr>
      <w:r>
        <w:rPr>
          <w:rFonts w:ascii="微软雅黑" w:eastAsia="微软雅黑" w:hAnsi="微软雅黑" w:hint="eastAsia"/>
          <w:bCs/>
          <w:szCs w:val="21"/>
        </w:rPr>
        <w:t>作为品牌数字化能力的赋能者,微盟始终聚焦品牌客户营销升级的需求,依托精湛的广告创意策划能力及专业的品牌客户服务能力,一方面,帮助品牌广告主激发用户互动与社交传播,完成品牌吸粉与价值传递;另一方面,通过工具+营销+运营的结合,促进用户留存和复购,同时借助积累的丰富交易数据反哺广告的投放,帮助品牌广告主形成全链路的营销闭环,赋能企业降低拓客以及销售成本,实现品效合一的精准营销,实现营销效果最大化。目前,微盟已服务国内众多知名企业,并在金融、教育、旅游、网服、游戏、电商等众多行业形成了完整的解决方案。</w:t>
      </w:r>
    </w:p>
    <w:p w14:paraId="02CD78BB" w14:textId="5B8326D7" w:rsidR="004B651C" w:rsidRDefault="000E2723" w:rsidP="004370F6">
      <w:pPr>
        <w:spacing w:before="100" w:beforeAutospacing="1" w:after="100" w:afterAutospacing="1"/>
        <w:textAlignment w:val="baseline"/>
        <w:rPr>
          <w:rFonts w:ascii="微软雅黑" w:eastAsia="微软雅黑" w:hAnsi="微软雅黑"/>
          <w:bCs/>
          <w:szCs w:val="21"/>
        </w:rPr>
      </w:pPr>
      <w:r>
        <w:rPr>
          <w:rFonts w:ascii="微软雅黑" w:eastAsia="微软雅黑" w:hAnsi="微软雅黑" w:hint="eastAsia"/>
          <w:bCs/>
          <w:szCs w:val="21"/>
        </w:rPr>
        <w:t>在“短视频+直播”双赛道上，作为一家以SaaS和精准营销立足的智慧商业服务提供商，2020年伴随着企业数字化升级加速，微盟快速把握住各行业快速增长的线上需求，拓展直播电商业务领域。目前微盟短视频中心二期已正式投入使用，为品牌提供从流量投放，到视频创意及拍摄，到SaaS系统转化，再到运营闭环的一站式实效营销解决方案，旨在通过内容创意升级驱动购买高效决策。随着二期影棚落成，微盟短视频中心新增10多间功能直播间，完成搭建超30多间实景拍摄空间，整体项目体量超过10000平方米，形成内景+外景相互联动、互为补充的全域短视频+直播的内容生产新格局。</w:t>
      </w:r>
    </w:p>
    <w:p w14:paraId="23EF1B58" w14:textId="1942AD1B" w:rsidR="004B651C" w:rsidRDefault="000E2723" w:rsidP="004370F6">
      <w:pPr>
        <w:spacing w:before="100" w:beforeAutospacing="1" w:after="100" w:afterAutospacing="1"/>
        <w:textAlignment w:val="baseline"/>
        <w:rPr>
          <w:rFonts w:ascii="微软雅黑" w:eastAsia="微软雅黑" w:hAnsi="微软雅黑"/>
          <w:bCs/>
          <w:szCs w:val="21"/>
        </w:rPr>
      </w:pPr>
      <w:r>
        <w:rPr>
          <w:rFonts w:ascii="微软雅黑" w:eastAsia="微软雅黑" w:hAnsi="微软雅黑" w:hint="eastAsia"/>
          <w:bCs/>
          <w:szCs w:val="21"/>
        </w:rPr>
        <w:t>2020上半年</w:t>
      </w:r>
      <w:r>
        <w:rPr>
          <w:rFonts w:ascii="微软雅黑" w:eastAsia="微软雅黑" w:hAnsi="微软雅黑"/>
          <w:bCs/>
          <w:szCs w:val="21"/>
        </w:rPr>
        <w:t>，</w:t>
      </w:r>
      <w:r>
        <w:rPr>
          <w:rFonts w:ascii="微软雅黑" w:eastAsia="微软雅黑" w:hAnsi="微软雅黑" w:hint="eastAsia"/>
          <w:bCs/>
          <w:szCs w:val="21"/>
        </w:rPr>
        <w:t>在</w:t>
      </w:r>
      <w:r>
        <w:rPr>
          <w:rFonts w:ascii="微软雅黑" w:eastAsia="微软雅黑" w:hAnsi="微软雅黑"/>
          <w:bCs/>
          <w:szCs w:val="21"/>
        </w:rPr>
        <w:t>“智慧融合共生未来-2020腾讯广告渠道合作伙伴峰会”</w:t>
      </w:r>
      <w:r>
        <w:rPr>
          <w:rFonts w:ascii="微软雅黑" w:eastAsia="微软雅黑" w:hAnsi="微软雅黑" w:hint="eastAsia"/>
          <w:bCs/>
          <w:szCs w:val="21"/>
        </w:rPr>
        <w:t>会上，</w:t>
      </w:r>
      <w:r>
        <w:rPr>
          <w:rFonts w:ascii="微软雅黑" w:eastAsia="微软雅黑" w:hAnsi="微软雅黑"/>
          <w:bCs/>
          <w:szCs w:val="21"/>
        </w:rPr>
        <w:t>凭借突出的广告营销服务及能力，微盟荣获腾讯广告渠道生态合作部2020上半年效果KA服务商官方金牌服务商授牌。</w:t>
      </w:r>
      <w:r>
        <w:rPr>
          <w:rFonts w:ascii="微软雅黑" w:eastAsia="微软雅黑" w:hAnsi="微软雅黑" w:hint="eastAsia"/>
          <w:bCs/>
          <w:szCs w:val="21"/>
        </w:rPr>
        <w:t>2020下半年，凭借在自运营投入、产品技术理解能力，以及创意素材制作等方面的出类拔萃表现，微盟也荣获腾讯广告2020下半年效果KA服务商铂金服务商授牌。</w:t>
      </w:r>
      <w:r>
        <w:rPr>
          <w:rFonts w:ascii="微软雅黑" w:eastAsia="微软雅黑" w:hAnsi="微软雅黑"/>
          <w:bCs/>
          <w:szCs w:val="21"/>
        </w:rPr>
        <w:t>此外，在区域服务领域，微盟盟聚荣获腾讯广告渠道生态合作部区域渠道2020年“上半年度杰出服务商”。</w:t>
      </w:r>
      <w:r>
        <w:rPr>
          <w:rFonts w:ascii="微软雅黑" w:eastAsia="微软雅黑" w:hAnsi="微软雅黑" w:hint="eastAsia"/>
          <w:bCs/>
          <w:szCs w:val="21"/>
        </w:rPr>
        <w:t>同年</w:t>
      </w:r>
      <w:r>
        <w:rPr>
          <w:rFonts w:ascii="微软雅黑" w:eastAsia="微软雅黑" w:hAnsi="微软雅黑"/>
          <w:bCs/>
          <w:szCs w:val="21"/>
        </w:rPr>
        <w:t>凭借优异的市场表现，</w:t>
      </w:r>
      <w:r>
        <w:rPr>
          <w:rFonts w:ascii="微软雅黑" w:eastAsia="微软雅黑" w:hAnsi="微软雅黑" w:hint="eastAsia"/>
          <w:bCs/>
          <w:szCs w:val="21"/>
        </w:rPr>
        <w:t>微盟</w:t>
      </w:r>
      <w:r>
        <w:rPr>
          <w:rFonts w:ascii="微软雅黑" w:eastAsia="微软雅黑" w:hAnsi="微软雅黑"/>
          <w:bCs/>
          <w:szCs w:val="21"/>
        </w:rPr>
        <w:t>盟聚在众多合作方中脱颖而出，连续四次荣膺腾讯广告区域及中长尾渠道“年度最佳合作伙伴”</w:t>
      </w:r>
      <w:r>
        <w:rPr>
          <w:rFonts w:ascii="微软雅黑" w:eastAsia="微软雅黑" w:hAnsi="微软雅黑" w:hint="eastAsia"/>
          <w:bCs/>
          <w:szCs w:val="21"/>
        </w:rPr>
        <w:t>。</w:t>
      </w:r>
    </w:p>
    <w:p w14:paraId="26F8CFD1" w14:textId="77777777"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rPr>
        <w:t>在行业认可上，2020年微盟斩获13项斩获移动营销领域及数字化营销领域的13项全能大奖，其中金奖3个，银奖4个，铜奖2个，荣誉证明4个：</w:t>
      </w:r>
    </w:p>
    <w:p w14:paraId="32495E64" w14:textId="77777777" w:rsidR="004B651C" w:rsidRDefault="000E2723" w:rsidP="004370F6">
      <w:pPr>
        <w:numPr>
          <w:ilvl w:val="0"/>
          <w:numId w:val="2"/>
        </w:numPr>
        <w:spacing w:before="100" w:beforeAutospacing="1" w:after="100" w:afterAutospacing="1"/>
        <w:jc w:val="left"/>
        <w:rPr>
          <w:rFonts w:ascii="微软雅黑" w:eastAsia="微软雅黑" w:hAnsi="微软雅黑"/>
        </w:rPr>
      </w:pPr>
      <w:r>
        <w:rPr>
          <w:rFonts w:ascii="微软雅黑" w:eastAsia="微软雅黑" w:hAnsi="微软雅黑" w:hint="eastAsia"/>
        </w:rPr>
        <w:t>艾菲效果营销奖</w:t>
      </w:r>
    </w:p>
    <w:p w14:paraId="43B6F786" w14:textId="77777777"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rPr>
        <w:t>2020微盟荣获2020大中华区艾菲效果营销年度代理公司集团；微盟盟聚获得2020大中华区艾菲效果营销年度代理公司；服务过的行业案例，荣获快消行业类金奖，大交通行业类银奖，零售与电商行业类铜奖</w:t>
      </w:r>
    </w:p>
    <w:p w14:paraId="5EB3A46A" w14:textId="34F177FF"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noProof/>
        </w:rPr>
        <w:lastRenderedPageBreak/>
        <w:drawing>
          <wp:inline distT="0" distB="0" distL="114300" distR="114300" wp14:anchorId="3C47804D" wp14:editId="1E11CCBC">
            <wp:extent cx="5706110" cy="3803650"/>
            <wp:effectExtent l="0" t="0" r="8890" b="6350"/>
            <wp:docPr id="5" name="图片 5" descr="艾菲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艾菲奖"/>
                    <pic:cNvPicPr>
                      <a:picLocks noChangeAspect="1"/>
                    </pic:cNvPicPr>
                  </pic:nvPicPr>
                  <pic:blipFill>
                    <a:blip r:embed="rId10"/>
                    <a:stretch>
                      <a:fillRect/>
                    </a:stretch>
                  </pic:blipFill>
                  <pic:spPr>
                    <a:xfrm>
                      <a:off x="0" y="0"/>
                      <a:ext cx="5706110" cy="3803650"/>
                    </a:xfrm>
                    <a:prstGeom prst="rect">
                      <a:avLst/>
                    </a:prstGeom>
                  </pic:spPr>
                </pic:pic>
              </a:graphicData>
            </a:graphic>
          </wp:inline>
        </w:drawing>
      </w:r>
    </w:p>
    <w:p w14:paraId="2CB753DF" w14:textId="77777777" w:rsidR="004B651C" w:rsidRDefault="000E2723" w:rsidP="004370F6">
      <w:pPr>
        <w:numPr>
          <w:ilvl w:val="0"/>
          <w:numId w:val="2"/>
        </w:numPr>
        <w:spacing w:before="100" w:beforeAutospacing="1" w:after="100" w:afterAutospacing="1"/>
        <w:jc w:val="left"/>
        <w:rPr>
          <w:rFonts w:ascii="微软雅黑" w:eastAsia="微软雅黑" w:hAnsi="微软雅黑"/>
        </w:rPr>
      </w:pPr>
      <w:r>
        <w:rPr>
          <w:rFonts w:ascii="微软雅黑" w:eastAsia="微软雅黑" w:hAnsi="微软雅黑" w:hint="eastAsia"/>
        </w:rPr>
        <w:t>金投赏</w:t>
      </w:r>
    </w:p>
    <w:p w14:paraId="101951EE" w14:textId="77777777"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rPr>
        <w:t>2020微盟服务过的案例，荣获第13届金投赏商业创意奖</w:t>
      </w:r>
    </w:p>
    <w:p w14:paraId="6CE50EDE" w14:textId="2E954855" w:rsidR="004B651C" w:rsidRDefault="000E2723" w:rsidP="00CB4D52">
      <w:pPr>
        <w:spacing w:before="100" w:beforeAutospacing="1" w:after="100" w:afterAutospacing="1"/>
        <w:jc w:val="center"/>
        <w:rPr>
          <w:rFonts w:ascii="微软雅黑" w:eastAsia="微软雅黑" w:hAnsi="微软雅黑"/>
        </w:rPr>
      </w:pPr>
      <w:r>
        <w:rPr>
          <w:rFonts w:ascii="微软雅黑" w:eastAsia="微软雅黑" w:hAnsi="微软雅黑" w:hint="eastAsia"/>
          <w:noProof/>
        </w:rPr>
        <w:drawing>
          <wp:inline distT="0" distB="0" distL="114300" distR="114300" wp14:anchorId="2BE81C11" wp14:editId="028994DE">
            <wp:extent cx="2592705" cy="4231005"/>
            <wp:effectExtent l="0" t="0" r="10795" b="10795"/>
            <wp:docPr id="4" name="图片 4" descr="金投赏商业创意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金投赏商业创意奖"/>
                    <pic:cNvPicPr>
                      <a:picLocks noChangeAspect="1"/>
                    </pic:cNvPicPr>
                  </pic:nvPicPr>
                  <pic:blipFill>
                    <a:blip r:embed="rId11"/>
                    <a:stretch>
                      <a:fillRect/>
                    </a:stretch>
                  </pic:blipFill>
                  <pic:spPr>
                    <a:xfrm>
                      <a:off x="0" y="0"/>
                      <a:ext cx="2592705" cy="4231005"/>
                    </a:xfrm>
                    <a:prstGeom prst="rect">
                      <a:avLst/>
                    </a:prstGeom>
                  </pic:spPr>
                </pic:pic>
              </a:graphicData>
            </a:graphic>
          </wp:inline>
        </w:drawing>
      </w:r>
    </w:p>
    <w:p w14:paraId="2A7840B4" w14:textId="77777777" w:rsidR="004B651C" w:rsidRDefault="000E2723" w:rsidP="004370F6">
      <w:pPr>
        <w:numPr>
          <w:ilvl w:val="0"/>
          <w:numId w:val="2"/>
        </w:numPr>
        <w:spacing w:before="100" w:beforeAutospacing="1" w:after="100" w:afterAutospacing="1"/>
        <w:jc w:val="left"/>
        <w:rPr>
          <w:rFonts w:ascii="微软雅黑" w:eastAsia="微软雅黑" w:hAnsi="微软雅黑"/>
        </w:rPr>
      </w:pPr>
      <w:proofErr w:type="spellStart"/>
      <w:r>
        <w:rPr>
          <w:rFonts w:ascii="微软雅黑" w:eastAsia="微软雅黑" w:hAnsi="微软雅黑" w:hint="eastAsia"/>
        </w:rPr>
        <w:lastRenderedPageBreak/>
        <w:t>TopDigital</w:t>
      </w:r>
      <w:proofErr w:type="spellEnd"/>
    </w:p>
    <w:p w14:paraId="6256FC26" w14:textId="77777777"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rPr>
        <w:t>2020微盟服务过的案例，荣获</w:t>
      </w:r>
      <w:proofErr w:type="spellStart"/>
      <w:r>
        <w:rPr>
          <w:rFonts w:ascii="微软雅黑" w:eastAsia="微软雅黑" w:hAnsi="微软雅黑" w:hint="eastAsia"/>
        </w:rPr>
        <w:t>TopDigital</w:t>
      </w:r>
      <w:proofErr w:type="spellEnd"/>
      <w:r>
        <w:rPr>
          <w:rFonts w:ascii="微软雅黑" w:eastAsia="微软雅黑" w:hAnsi="微软雅黑" w:hint="eastAsia"/>
        </w:rPr>
        <w:t>创新营销奖</w:t>
      </w:r>
    </w:p>
    <w:p w14:paraId="28B2CEE0" w14:textId="30049E6D"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noProof/>
        </w:rPr>
        <w:drawing>
          <wp:inline distT="0" distB="0" distL="114300" distR="114300" wp14:anchorId="7320B035" wp14:editId="4814DDDD">
            <wp:extent cx="5716270" cy="3810635"/>
            <wp:effectExtent l="0" t="0" r="11430" b="12065"/>
            <wp:docPr id="2" name="图片 2" descr="topdigital获奖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opdigital获奖V"/>
                    <pic:cNvPicPr>
                      <a:picLocks noChangeAspect="1"/>
                    </pic:cNvPicPr>
                  </pic:nvPicPr>
                  <pic:blipFill>
                    <a:blip r:embed="rId12"/>
                    <a:stretch>
                      <a:fillRect/>
                    </a:stretch>
                  </pic:blipFill>
                  <pic:spPr>
                    <a:xfrm>
                      <a:off x="0" y="0"/>
                      <a:ext cx="5716270" cy="3810635"/>
                    </a:xfrm>
                    <a:prstGeom prst="rect">
                      <a:avLst/>
                    </a:prstGeom>
                  </pic:spPr>
                </pic:pic>
              </a:graphicData>
            </a:graphic>
          </wp:inline>
        </w:drawing>
      </w:r>
    </w:p>
    <w:p w14:paraId="6EB7354C" w14:textId="77777777" w:rsidR="004B651C" w:rsidRDefault="000E2723" w:rsidP="004370F6">
      <w:pPr>
        <w:numPr>
          <w:ilvl w:val="0"/>
          <w:numId w:val="2"/>
        </w:numPr>
        <w:spacing w:before="100" w:beforeAutospacing="1" w:after="100" w:afterAutospacing="1"/>
        <w:jc w:val="left"/>
        <w:rPr>
          <w:rFonts w:ascii="微软雅黑" w:eastAsia="微软雅黑" w:hAnsi="微软雅黑"/>
        </w:rPr>
      </w:pPr>
      <w:r>
        <w:rPr>
          <w:rFonts w:ascii="微软雅黑" w:eastAsia="微软雅黑" w:hAnsi="微软雅黑" w:hint="eastAsia"/>
        </w:rPr>
        <w:t>金网奖</w:t>
      </w:r>
    </w:p>
    <w:p w14:paraId="0584A138" w14:textId="77777777"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rPr>
        <w:t>2020微盟服务过的案例，荣获最佳视频营销案例金奖</w:t>
      </w:r>
    </w:p>
    <w:p w14:paraId="72A6894D" w14:textId="3C3E8241"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noProof/>
        </w:rPr>
        <w:lastRenderedPageBreak/>
        <w:drawing>
          <wp:inline distT="0" distB="0" distL="114300" distR="114300" wp14:anchorId="63903462" wp14:editId="2E369049">
            <wp:extent cx="5718175" cy="3811905"/>
            <wp:effectExtent l="0" t="0" r="9525" b="10795"/>
            <wp:docPr id="3" name="图片 3" descr="金网奖奖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金网奖奖杯"/>
                    <pic:cNvPicPr>
                      <a:picLocks noChangeAspect="1"/>
                    </pic:cNvPicPr>
                  </pic:nvPicPr>
                  <pic:blipFill>
                    <a:blip r:embed="rId13"/>
                    <a:stretch>
                      <a:fillRect/>
                    </a:stretch>
                  </pic:blipFill>
                  <pic:spPr>
                    <a:xfrm>
                      <a:off x="0" y="0"/>
                      <a:ext cx="5718175" cy="3811905"/>
                    </a:xfrm>
                    <a:prstGeom prst="rect">
                      <a:avLst/>
                    </a:prstGeom>
                  </pic:spPr>
                </pic:pic>
              </a:graphicData>
            </a:graphic>
          </wp:inline>
        </w:drawing>
      </w:r>
    </w:p>
    <w:p w14:paraId="79EE53D1" w14:textId="77777777" w:rsidR="004B651C" w:rsidRDefault="000E2723" w:rsidP="004370F6">
      <w:pPr>
        <w:numPr>
          <w:ilvl w:val="0"/>
          <w:numId w:val="2"/>
        </w:numPr>
        <w:spacing w:before="100" w:beforeAutospacing="1" w:after="100" w:afterAutospacing="1"/>
        <w:jc w:val="left"/>
        <w:rPr>
          <w:rFonts w:ascii="微软雅黑" w:eastAsia="微软雅黑" w:hAnsi="微软雅黑"/>
        </w:rPr>
      </w:pPr>
      <w:r>
        <w:rPr>
          <w:rFonts w:ascii="微软雅黑" w:eastAsia="微软雅黑" w:hAnsi="微软雅黑" w:hint="eastAsia"/>
        </w:rPr>
        <w:t>MAA现代广告奖</w:t>
      </w:r>
    </w:p>
    <w:p w14:paraId="47127B13" w14:textId="77777777"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rPr>
        <w:t>2020微盟服务过的案例，荣获互动创意广告金奖和银奖</w:t>
      </w:r>
    </w:p>
    <w:p w14:paraId="7E8BA5CF" w14:textId="4517DC77"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noProof/>
        </w:rPr>
        <w:drawing>
          <wp:inline distT="0" distB="0" distL="114300" distR="114300" wp14:anchorId="7E49FD95" wp14:editId="77923EC0">
            <wp:extent cx="5706110" cy="3803650"/>
            <wp:effectExtent l="0" t="0" r="8890" b="6350"/>
            <wp:docPr id="6" name="图片 6" descr="现代营销奖杯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现代营销奖杯 (1)"/>
                    <pic:cNvPicPr>
                      <a:picLocks noChangeAspect="1"/>
                    </pic:cNvPicPr>
                  </pic:nvPicPr>
                  <pic:blipFill>
                    <a:blip r:embed="rId14"/>
                    <a:stretch>
                      <a:fillRect/>
                    </a:stretch>
                  </pic:blipFill>
                  <pic:spPr>
                    <a:xfrm>
                      <a:off x="0" y="0"/>
                      <a:ext cx="5706110" cy="3803650"/>
                    </a:xfrm>
                    <a:prstGeom prst="rect">
                      <a:avLst/>
                    </a:prstGeom>
                  </pic:spPr>
                </pic:pic>
              </a:graphicData>
            </a:graphic>
          </wp:inline>
        </w:drawing>
      </w:r>
    </w:p>
    <w:p w14:paraId="4E64F068" w14:textId="77777777" w:rsidR="004B651C" w:rsidRDefault="004B651C" w:rsidP="004370F6">
      <w:pPr>
        <w:spacing w:before="100" w:beforeAutospacing="1" w:after="100" w:afterAutospacing="1"/>
        <w:rPr>
          <w:rFonts w:ascii="微软雅黑" w:eastAsia="微软雅黑" w:hAnsi="微软雅黑"/>
          <w:b/>
        </w:rPr>
      </w:pPr>
    </w:p>
    <w:p w14:paraId="1167A984" w14:textId="77777777" w:rsidR="004B651C" w:rsidRDefault="000E2723" w:rsidP="004370F6">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lastRenderedPageBreak/>
        <w:t>服务的主要客户</w:t>
      </w:r>
    </w:p>
    <w:p w14:paraId="50DED75D" w14:textId="76E4868B" w:rsidR="004B651C" w:rsidRDefault="000E2723" w:rsidP="004370F6">
      <w:pPr>
        <w:spacing w:before="100" w:beforeAutospacing="1" w:after="100" w:afterAutospacing="1"/>
        <w:jc w:val="left"/>
        <w:rPr>
          <w:rFonts w:ascii="微软雅黑" w:eastAsia="微软雅黑" w:hAnsi="微软雅黑"/>
          <w:szCs w:val="22"/>
        </w:rPr>
      </w:pPr>
      <w:r>
        <w:rPr>
          <w:rFonts w:ascii="微软雅黑" w:eastAsia="微软雅黑" w:hAnsi="微软雅黑" w:hint="eastAsia"/>
          <w:szCs w:val="22"/>
        </w:rPr>
        <w:t>飞乐思、茶里、NEIWAI内外、时萃咖啡、</w:t>
      </w:r>
      <w:proofErr w:type="spellStart"/>
      <w:r>
        <w:rPr>
          <w:rFonts w:ascii="微软雅黑" w:eastAsia="微软雅黑" w:hAnsi="微软雅黑" w:hint="eastAsia"/>
          <w:szCs w:val="22"/>
        </w:rPr>
        <w:t>Tims</w:t>
      </w:r>
      <w:proofErr w:type="spellEnd"/>
      <w:r>
        <w:rPr>
          <w:rFonts w:ascii="微软雅黑" w:eastAsia="微软雅黑" w:hAnsi="微软雅黑" w:hint="eastAsia"/>
          <w:szCs w:val="22"/>
        </w:rPr>
        <w:t>咖啡、飞鹤乳业、全棉时代、林清轩、安奈儿、谭鸭血、英伦时光、昂立智立方、威马汽车、同程旅游、21金维他、山西汾酒、金夫人、惠而浦等</w:t>
      </w:r>
      <w:r w:rsidR="00CB4D52">
        <w:rPr>
          <w:rFonts w:ascii="微软雅黑" w:eastAsia="微软雅黑" w:hAnsi="微软雅黑" w:hint="eastAsia"/>
          <w:szCs w:val="22"/>
        </w:rPr>
        <w:t>。</w:t>
      </w:r>
    </w:p>
    <w:p w14:paraId="1D75A537" w14:textId="3F71ADCD" w:rsidR="004B651C" w:rsidRPr="00CB4D52" w:rsidRDefault="004B651C" w:rsidP="004370F6">
      <w:pPr>
        <w:pStyle w:val="af1"/>
        <w:spacing w:before="100" w:beforeAutospacing="1" w:after="100" w:afterAutospacing="1"/>
        <w:ind w:firstLineChars="0" w:firstLine="0"/>
        <w:rPr>
          <w:rFonts w:ascii="微软雅黑" w:eastAsia="微软雅黑" w:hAnsi="微软雅黑"/>
          <w:color w:val="FF0000"/>
          <w:szCs w:val="21"/>
        </w:rPr>
      </w:pPr>
    </w:p>
    <w:sectPr w:rsidR="004B651C" w:rsidRPr="00CB4D52">
      <w:headerReference w:type="even" r:id="rId15"/>
      <w:headerReference w:type="default" r:id="rId16"/>
      <w:footerReference w:type="even" r:id="rId17"/>
      <w:footerReference w:type="default" r:id="rId18"/>
      <w:headerReference w:type="first" r:id="rId19"/>
      <w:footerReference w:type="first" r:id="rId20"/>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D878E" w14:textId="77777777" w:rsidR="00BD1BA5" w:rsidRDefault="00BD1BA5">
      <w:r>
        <w:separator/>
      </w:r>
    </w:p>
  </w:endnote>
  <w:endnote w:type="continuationSeparator" w:id="0">
    <w:p w14:paraId="292ADEEE" w14:textId="77777777" w:rsidR="00BD1BA5" w:rsidRDefault="00BD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B05CE" w14:textId="77777777" w:rsidR="004B651C" w:rsidRDefault="000E2723">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11EA6A48" w14:textId="77777777" w:rsidR="004B651C" w:rsidRDefault="004B651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0E85" w14:textId="77777777" w:rsidR="004B651C" w:rsidRDefault="004B651C">
    <w:pPr>
      <w:pStyle w:val="a7"/>
      <w:framePr w:wrap="around" w:vAnchor="text" w:hAnchor="margin" w:xAlign="right" w:y="1"/>
      <w:rPr>
        <w:rStyle w:val="ad"/>
      </w:rPr>
    </w:pPr>
  </w:p>
  <w:p w14:paraId="1B00CF06" w14:textId="77777777" w:rsidR="004B651C" w:rsidRDefault="004B651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D4D1" w14:textId="77777777" w:rsidR="004370F6" w:rsidRDefault="004370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E31D0" w14:textId="77777777" w:rsidR="00BD1BA5" w:rsidRDefault="00BD1BA5">
      <w:r>
        <w:separator/>
      </w:r>
    </w:p>
  </w:footnote>
  <w:footnote w:type="continuationSeparator" w:id="0">
    <w:p w14:paraId="1A8FD19D" w14:textId="77777777" w:rsidR="00BD1BA5" w:rsidRDefault="00BD1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247A" w14:textId="77777777" w:rsidR="004B651C" w:rsidRDefault="004B651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AE8F" w14:textId="77777777" w:rsidR="004B651C" w:rsidRDefault="000E2723">
    <w:pPr>
      <w:pStyle w:val="a8"/>
      <w:jc w:val="both"/>
      <w:rPr>
        <w:rFonts w:ascii="微软雅黑" w:eastAsia="微软雅黑" w:hAnsi="微软雅黑"/>
        <w:sz w:val="21"/>
      </w:rPr>
    </w:pPr>
    <w:r>
      <w:rPr>
        <w:b/>
        <w:noProof/>
        <w:color w:val="333333"/>
        <w:sz w:val="21"/>
      </w:rPr>
      <w:drawing>
        <wp:inline distT="0" distB="0" distL="0" distR="0" wp14:anchorId="2E5C0D8B" wp14:editId="1C8068EA">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EF45E" w14:textId="77777777" w:rsidR="004B651C" w:rsidRDefault="004B651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E8089BF"/>
    <w:multiLevelType w:val="singleLevel"/>
    <w:tmpl w:val="5E8089BF"/>
    <w:lvl w:ilvl="0">
      <w:start w:val="1"/>
      <w:numFmt w:val="upperLetter"/>
      <w:suff w:val="space"/>
      <w:lvlText w:val="%1."/>
      <w:lvlJc w:val="left"/>
    </w:lvl>
  </w:abstractNum>
  <w:abstractNum w:abstractNumId="2"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069D"/>
    <w:rsid w:val="00004F1D"/>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723"/>
    <w:rsid w:val="000E2A45"/>
    <w:rsid w:val="000F5168"/>
    <w:rsid w:val="000F63B2"/>
    <w:rsid w:val="00105103"/>
    <w:rsid w:val="00112736"/>
    <w:rsid w:val="00112AAF"/>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1844"/>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370F6"/>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B651C"/>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2DBC"/>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1BA5"/>
    <w:rsid w:val="00BD741B"/>
    <w:rsid w:val="00BD7FD3"/>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971ED"/>
    <w:rsid w:val="00CA426C"/>
    <w:rsid w:val="00CA7B10"/>
    <w:rsid w:val="00CA7DE6"/>
    <w:rsid w:val="00CB2251"/>
    <w:rsid w:val="00CB2938"/>
    <w:rsid w:val="00CB462E"/>
    <w:rsid w:val="00CB4A74"/>
    <w:rsid w:val="00CB4D52"/>
    <w:rsid w:val="00CC70FB"/>
    <w:rsid w:val="00CE55AC"/>
    <w:rsid w:val="00D13BC3"/>
    <w:rsid w:val="00D14F03"/>
    <w:rsid w:val="00D409BB"/>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7652"/>
    <w:rsid w:val="00FD2192"/>
    <w:rsid w:val="00FD7838"/>
    <w:rsid w:val="00FE1360"/>
    <w:rsid w:val="00FE70B2"/>
    <w:rsid w:val="012A4634"/>
    <w:rsid w:val="0179008E"/>
    <w:rsid w:val="02CA3382"/>
    <w:rsid w:val="039755DC"/>
    <w:rsid w:val="0FC4715F"/>
    <w:rsid w:val="11895B57"/>
    <w:rsid w:val="126A2A2B"/>
    <w:rsid w:val="16310294"/>
    <w:rsid w:val="19CA31DC"/>
    <w:rsid w:val="1B1878CE"/>
    <w:rsid w:val="1C32617A"/>
    <w:rsid w:val="1E5F47DB"/>
    <w:rsid w:val="1EBC3E34"/>
    <w:rsid w:val="1EEF6C25"/>
    <w:rsid w:val="1F3E6866"/>
    <w:rsid w:val="26133962"/>
    <w:rsid w:val="2878701A"/>
    <w:rsid w:val="297845FB"/>
    <w:rsid w:val="2A416AE0"/>
    <w:rsid w:val="2B684B0E"/>
    <w:rsid w:val="2DD24B48"/>
    <w:rsid w:val="2E047D41"/>
    <w:rsid w:val="31634516"/>
    <w:rsid w:val="33DE1759"/>
    <w:rsid w:val="36A66A57"/>
    <w:rsid w:val="3A762619"/>
    <w:rsid w:val="3C9A027A"/>
    <w:rsid w:val="409A1159"/>
    <w:rsid w:val="42AA49A1"/>
    <w:rsid w:val="48E30561"/>
    <w:rsid w:val="4B881606"/>
    <w:rsid w:val="4C4521AA"/>
    <w:rsid w:val="4D4571A9"/>
    <w:rsid w:val="4DE3510B"/>
    <w:rsid w:val="52153CB5"/>
    <w:rsid w:val="53FC08D9"/>
    <w:rsid w:val="548B013A"/>
    <w:rsid w:val="557A6591"/>
    <w:rsid w:val="56795567"/>
    <w:rsid w:val="5D7D169D"/>
    <w:rsid w:val="5E091822"/>
    <w:rsid w:val="65F17A4B"/>
    <w:rsid w:val="669D2DC5"/>
    <w:rsid w:val="68FB5F89"/>
    <w:rsid w:val="69CC6ECF"/>
    <w:rsid w:val="6BA67828"/>
    <w:rsid w:val="700561B4"/>
    <w:rsid w:val="711F226A"/>
    <w:rsid w:val="7278115F"/>
    <w:rsid w:val="771F7C81"/>
    <w:rsid w:val="77431D54"/>
    <w:rsid w:val="775711D8"/>
    <w:rsid w:val="78F75D6A"/>
    <w:rsid w:val="7A4943F5"/>
    <w:rsid w:val="7AEE2698"/>
    <w:rsid w:val="7B676618"/>
    <w:rsid w:val="7C8633A5"/>
    <w:rsid w:val="7E6661DC"/>
    <w:rsid w:val="7E993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9DF09"/>
  <w15:docId w15:val="{802BC27A-A584-AB4F-AEC0-A0898352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paragraph" w:styleId="2">
    <w:name w:val="heading 2"/>
    <w:basedOn w:val="a"/>
    <w:next w:val="a"/>
    <w:uiPriority w:val="9"/>
    <w:semiHidden/>
    <w:unhideWhenUsed/>
    <w:qFormat/>
    <w:pPr>
      <w:jc w:val="left"/>
      <w:outlineLvl w:val="1"/>
    </w:pPr>
    <w:rPr>
      <w:rFonts w:ascii="宋体" w:hAnsi="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Balloon Text"/>
    <w:basedOn w:val="a"/>
    <w:link w:val="a6"/>
    <w:uiPriority w:val="99"/>
    <w:semiHidden/>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qFormat/>
  </w:style>
  <w:style w:type="character" w:styleId="ae">
    <w:name w:val="FollowedHyperlink"/>
    <w:basedOn w:val="a0"/>
    <w:uiPriority w:val="99"/>
    <w:semiHidden/>
    <w:unhideWhenUsed/>
    <w:qFormat/>
    <w:rPr>
      <w:color w:val="800080"/>
      <w:u w:val="none"/>
    </w:rPr>
  </w:style>
  <w:style w:type="character" w:styleId="af">
    <w:name w:val="Emphasis"/>
    <w:basedOn w:val="a0"/>
    <w:qFormat/>
  </w:style>
  <w:style w:type="character" w:styleId="af0">
    <w:name w:val="Hyperlink"/>
    <w:basedOn w:val="a0"/>
    <w:qFormat/>
    <w:rPr>
      <w:color w:val="0000FF"/>
      <w:u w:val="none"/>
    </w:r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1">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2">
    <w:name w:val="清單段落"/>
    <w:basedOn w:val="a"/>
    <w:qFormat/>
    <w:pPr>
      <w:ind w:left="720"/>
    </w:pPr>
  </w:style>
  <w:style w:type="character" w:customStyle="1" w:styleId="a6">
    <w:name w:val="批注框文本 字符"/>
    <w:basedOn w:val="a0"/>
    <w:link w:val="a5"/>
    <w:uiPriority w:val="99"/>
    <w:semiHidden/>
    <w:qFormat/>
    <w:rPr>
      <w:kern w:val="2"/>
      <w:sz w:val="18"/>
      <w:szCs w:val="18"/>
    </w:rPr>
  </w:style>
  <w:style w:type="character" w:customStyle="1" w:styleId="now1">
    <w:name w:val="now1"/>
    <w:basedOn w:val="a0"/>
    <w:qFormat/>
    <w:rPr>
      <w:color w:val="FFFFFF"/>
      <w:shd w:val="clear" w:color="auto" w:fill="4E4E4E"/>
    </w:rPr>
  </w:style>
  <w:style w:type="character" w:customStyle="1" w:styleId="current3">
    <w:name w:val="current3"/>
    <w:basedOn w:val="a0"/>
    <w:qFormat/>
    <w:rPr>
      <w:color w:val="FFFFFF"/>
      <w:shd w:val="clear" w:color="auto" w:fill="4E4E4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8EECE-A8F3-0444-AFF6-3B2C4B9D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286</Words>
  <Characters>1633</Characters>
  <Application>Microsoft Office Word</Application>
  <DocSecurity>0</DocSecurity>
  <Lines>13</Lines>
  <Paragraphs>3</Paragraphs>
  <ScaleCrop>false</ScaleCrop>
  <Company>WWW.YlmF.CoM</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30</cp:revision>
  <cp:lastPrinted>2013-11-12T01:54:00Z</cp:lastPrinted>
  <dcterms:created xsi:type="dcterms:W3CDTF">2015-11-23T07:41:00Z</dcterms:created>
  <dcterms:modified xsi:type="dcterms:W3CDTF">2021-03-01T09:49:00Z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