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杭州碧橙数字技术股份有限公司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ascii="微软雅黑" w:hAnsi="微软雅黑" w:eastAsia="微软雅黑"/>
          <w:b w:val="0"/>
          <w:bCs/>
        </w:rPr>
        <w:fldChar w:fldCharType="begin"/>
      </w:r>
      <w:r>
        <w:rPr>
          <w:rFonts w:ascii="微软雅黑" w:hAnsi="微软雅黑" w:eastAsia="微软雅黑"/>
          <w:b w:val="0"/>
          <w:bCs/>
        </w:rPr>
        <w:instrText xml:space="preserve"> HYPERLINK "http://www.bi-cheng.cn" </w:instrText>
      </w:r>
      <w:r>
        <w:rPr>
          <w:rFonts w:ascii="微软雅黑" w:hAnsi="微软雅黑" w:eastAsia="微软雅黑"/>
          <w:b w:val="0"/>
          <w:bCs/>
        </w:rPr>
        <w:fldChar w:fldCharType="separate"/>
      </w:r>
      <w:r>
        <w:rPr>
          <w:rStyle w:val="15"/>
          <w:rFonts w:ascii="微软雅黑" w:hAnsi="微软雅黑" w:eastAsia="微软雅黑"/>
          <w:b w:val="0"/>
          <w:bCs/>
        </w:rPr>
        <w:t>www.bi-cheng.cn</w:t>
      </w:r>
      <w:r>
        <w:rPr>
          <w:rFonts w:ascii="微软雅黑" w:hAnsi="微软雅黑" w:eastAsia="微软雅黑"/>
          <w:b w:val="0"/>
          <w:bCs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年度数字营销影响力代理公司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碧橙</w:t>
      </w:r>
      <w:r>
        <w:rPr>
          <w:rFonts w:hint="eastAsia" w:ascii="微软雅黑" w:hAnsi="微软雅黑" w:eastAsia="微软雅黑"/>
          <w:lang w:val="en-US" w:eastAsia="zh-CN"/>
        </w:rPr>
        <w:t>数字</w:t>
      </w:r>
      <w:r>
        <w:rPr>
          <w:rFonts w:hint="eastAsia" w:ascii="微软雅黑" w:hAnsi="微软雅黑" w:eastAsia="微软雅黑"/>
        </w:rPr>
        <w:t>及旗下事业群启航于</w:t>
      </w:r>
      <w:r>
        <w:rPr>
          <w:rFonts w:hint="eastAsia" w:ascii="微软雅黑" w:hAnsi="微软雅黑" w:eastAsia="微软雅黑"/>
          <w:szCs w:val="22"/>
        </w:rPr>
        <w:t>2013年，以“让消费更快乐，让品牌更好做”为使命，明确</w:t>
      </w:r>
      <w:r>
        <w:rPr>
          <w:rFonts w:hint="eastAsia" w:ascii="微软雅黑" w:hAnsi="微软雅黑" w:eastAsia="微软雅黑"/>
          <w:szCs w:val="22"/>
          <w:lang w:val="en-US" w:eastAsia="zh-CN"/>
        </w:rPr>
        <w:t>了</w:t>
      </w:r>
      <w:r>
        <w:rPr>
          <w:rFonts w:hint="eastAsia" w:ascii="微软雅黑" w:hAnsi="微软雅黑" w:eastAsia="微软雅黑"/>
          <w:szCs w:val="22"/>
        </w:rPr>
        <w:t>领先的数据化互联网品牌管理集团概念。</w:t>
      </w:r>
      <w:r>
        <w:rPr>
          <w:rFonts w:hint="eastAsia" w:ascii="微软雅黑" w:hAnsi="微软雅黑" w:eastAsia="微软雅黑"/>
        </w:rPr>
        <w:t>目前服务行业聚焦于消费电子、大健康、母婴、食品等类目，是多行业顶尖品牌的长期战略合作伙伴。</w:t>
      </w:r>
      <w:bookmarkStart w:id="0" w:name="_GoBack"/>
      <w:bookmarkEnd w:id="0"/>
      <w:r>
        <w:rPr>
          <w:rFonts w:hint="eastAsia" w:ascii="微软雅黑" w:hAnsi="微软雅黑" w:eastAsia="微软雅黑"/>
        </w:rPr>
        <w:t>总部位于杭州，在上海、安徽、北京均有分公司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碧橙</w:t>
      </w:r>
      <w:r>
        <w:rPr>
          <w:rFonts w:ascii="微软雅黑" w:hAnsi="微软雅黑" w:eastAsia="微软雅黑"/>
        </w:rPr>
        <w:t>创立</w:t>
      </w:r>
      <w:r>
        <w:rPr>
          <w:rFonts w:hint="eastAsia" w:ascii="微软雅黑" w:hAnsi="微软雅黑" w:eastAsia="微软雅黑"/>
        </w:rPr>
        <w:t>八</w:t>
      </w:r>
      <w:r>
        <w:rPr>
          <w:rFonts w:ascii="微软雅黑" w:hAnsi="微软雅黑" w:eastAsia="微软雅黑"/>
        </w:rPr>
        <w:t>年间，规模不断扩大，业绩与速度均保持业内领先。核心团队皆有</w:t>
      </w:r>
      <w:r>
        <w:rPr>
          <w:rFonts w:hint="eastAsia" w:ascii="微软雅黑" w:hAnsi="微软雅黑" w:eastAsia="微软雅黑"/>
        </w:rPr>
        <w:t>多</w:t>
      </w:r>
      <w:r>
        <w:rPr>
          <w:rFonts w:ascii="微软雅黑" w:hAnsi="微软雅黑" w:eastAsia="微软雅黑"/>
        </w:rPr>
        <w:t>年的电商实战经验，深度跨界于家电、母婴、健康等相关行业</w:t>
      </w:r>
      <w:r>
        <w:rPr>
          <w:rFonts w:hint="eastAsia" w:ascii="微软雅黑" w:hAnsi="微软雅黑" w:eastAsia="微软雅黑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</w:rPr>
        <w:t>碧橙不断拓展业务品类，连年保持大牌不断引入。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碧橙创立至今，</w:t>
      </w:r>
      <w:r>
        <w:rPr>
          <w:rFonts w:ascii="微软雅黑" w:hAnsi="微软雅黑" w:eastAsia="微软雅黑"/>
        </w:rPr>
        <w:t>规模不断扩大</w:t>
      </w:r>
      <w:r>
        <w:rPr>
          <w:rFonts w:hint="eastAsia" w:ascii="微软雅黑" w:hAnsi="微软雅黑" w:eastAsia="微软雅黑"/>
        </w:rPr>
        <w:t>，电商人才</w:t>
      </w:r>
      <w:r>
        <w:rPr>
          <w:rFonts w:ascii="微软雅黑" w:hAnsi="微软雅黑" w:eastAsia="微软雅黑"/>
        </w:rPr>
        <w:t>广布，</w:t>
      </w:r>
      <w:r>
        <w:rPr>
          <w:rFonts w:hint="eastAsia" w:ascii="微软雅黑" w:hAnsi="微软雅黑" w:eastAsia="微软雅黑"/>
        </w:rPr>
        <w:t>公司拥</w:t>
      </w:r>
      <w:r>
        <w:rPr>
          <w:rFonts w:ascii="微软雅黑" w:hAnsi="微软雅黑" w:eastAsia="微软雅黑"/>
        </w:rPr>
        <w:t>有</w:t>
      </w:r>
      <w:r>
        <w:rPr>
          <w:rFonts w:hint="eastAsia" w:ascii="微软雅黑" w:hAnsi="微软雅黑" w:eastAsia="微软雅黑"/>
        </w:rPr>
        <w:t>多种类专业人才。此外，还对电商</w:t>
      </w:r>
      <w:r>
        <w:rPr>
          <w:rFonts w:ascii="微软雅黑" w:hAnsi="微软雅黑" w:eastAsia="微软雅黑"/>
        </w:rPr>
        <w:t>主播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活动策划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新零售工具系统开发人员</w:t>
      </w:r>
      <w:r>
        <w:rPr>
          <w:rFonts w:hint="eastAsia" w:ascii="微软雅黑" w:hAnsi="微软雅黑" w:eastAsia="微软雅黑"/>
        </w:rPr>
        <w:t>等领域人才进行体系化、规范化的培养，以求更多维的对电商领域进行深入发展。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碧橙在新零售相关系统、平台以及工具的开发与运用上一直处于行业领先地位。此外，并在20</w:t>
      </w:r>
      <w:r>
        <w:rPr>
          <w:rFonts w:ascii="微软雅黑" w:hAnsi="微软雅黑" w:eastAsia="微软雅黑"/>
        </w:rPr>
        <w:t>20</w:t>
      </w:r>
      <w:r>
        <w:rPr>
          <w:rFonts w:hint="eastAsia" w:ascii="微软雅黑" w:hAnsi="微软雅黑" w:eastAsia="微软雅黑"/>
        </w:rPr>
        <w:t>年获得“国家高新技术企业”称号。还拥有“策略中心认证服务商”，“阿里巴巴数据银行认证服务商”，“新零售技术方案与运营服务商”，“天猫新零售智慧门店合作服务商”等资质，并于2</w:t>
      </w:r>
      <w:r>
        <w:rPr>
          <w:rFonts w:ascii="微软雅黑" w:hAnsi="微软雅黑" w:eastAsia="微软雅黑"/>
        </w:rPr>
        <w:t>020</w:t>
      </w:r>
      <w:r>
        <w:rPr>
          <w:rFonts w:hint="eastAsia" w:ascii="微软雅黑" w:hAnsi="微软雅黑" w:eastAsia="微软雅黑"/>
        </w:rPr>
        <w:t>年，明确领先的数据化互联网品牌管理集团概念。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近年，因企业的快速发展和以及对电商行业的突出贡献，得到行业及平台等多方的认可。连续</w:t>
      </w:r>
      <w:r>
        <w:rPr>
          <w:rFonts w:hint="eastAsia" w:ascii="微软雅黑" w:hAnsi="微软雅黑" w:eastAsia="微软雅黑"/>
          <w:lang w:val="en-US" w:eastAsia="zh-CN"/>
        </w:rPr>
        <w:t>5</w:t>
      </w:r>
      <w:r>
        <w:rPr>
          <w:rFonts w:hint="eastAsia" w:ascii="微软雅黑" w:hAnsi="微软雅黑" w:eastAsia="微软雅黑"/>
        </w:rPr>
        <w:t>次蝉联“天猫六星级服务商”称号，成为浙江省唯一一家蝉联天猫最高星级服务商的企业。并获得“天猫国际五星级服务商”、“浙江省电子商务百强企业”、“天猫国际最佳整合服务商”等荣誉。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在数字营销领域，也通过与品牌携手打造的精彩案例，获得了2</w:t>
      </w:r>
      <w:r>
        <w:rPr>
          <w:rFonts w:ascii="微软雅黑" w:hAnsi="微软雅黑" w:eastAsia="微软雅黑"/>
        </w:rPr>
        <w:t>020</w:t>
      </w:r>
      <w:r>
        <w:rPr>
          <w:rFonts w:hint="eastAsia" w:ascii="微软雅黑" w:hAnsi="微软雅黑" w:eastAsia="微软雅黑"/>
        </w:rPr>
        <w:t xml:space="preserve"> ECI Awards“营销创新银奖”、艾菲奖“整合营销铜奖”、金麦奖“营销服务类机构奖”、T</w:t>
      </w:r>
      <w:r>
        <w:rPr>
          <w:rFonts w:ascii="微软雅黑" w:hAnsi="微软雅黑" w:eastAsia="微软雅黑"/>
        </w:rPr>
        <w:t>opDigital</w:t>
      </w:r>
      <w:r>
        <w:rPr>
          <w:rFonts w:hint="eastAsia" w:ascii="微软雅黑" w:hAnsi="微软雅黑" w:eastAsia="微软雅黑"/>
        </w:rPr>
        <w:t>“整合营销银奖”、金瞳奖“品牌日营销银奖”等荣誉。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>成立至今，碧橙形成了以电商运营、数字营销以及业务支持有三大核心的业务阵地。在电商运营上以多种模式为品牌提供定制化电商服务，涵盖代运营、经销、总代及O2O新零售。在数字营销领域为品牌提供营销策略、广告创意、媒体投放、内容营销、直播新媒体、大数据营销等专业服务。同时以电商运营为中心，定制化提供包含IT系统、仓储物流、客户服务等支持服务，不断驱动品牌销售与人群资产、影响力的正向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lang w:eastAsia="zh-CN"/>
        </w:rPr>
        <w:t>碧橙数字</w:t>
      </w:r>
      <w:r>
        <w:rPr>
          <w:rFonts w:hint="eastAsia" w:ascii="微软雅黑" w:hAnsi="微软雅黑" w:eastAsia="微软雅黑"/>
        </w:rPr>
        <w:t>目前服务行业聚焦于消费电子、大健康、母婴亲子、食品酒水、个护美妆等类目，是西门子、林内、大金空调、欧姆龙、阿里健康、高露洁、巧虎等顶尖品牌的战略合作伙伴。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1BC2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06EDD"/>
    <w:rsid w:val="0011082E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CD7"/>
    <w:rsid w:val="00183D4F"/>
    <w:rsid w:val="00184006"/>
    <w:rsid w:val="00192A5B"/>
    <w:rsid w:val="00192D54"/>
    <w:rsid w:val="00194731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62C00"/>
    <w:rsid w:val="00371D9E"/>
    <w:rsid w:val="00371F8B"/>
    <w:rsid w:val="0038504C"/>
    <w:rsid w:val="00386E93"/>
    <w:rsid w:val="003919C9"/>
    <w:rsid w:val="003921AA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13A9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02B0"/>
    <w:rsid w:val="004C409B"/>
    <w:rsid w:val="004C539E"/>
    <w:rsid w:val="004D259F"/>
    <w:rsid w:val="004D3EF9"/>
    <w:rsid w:val="004D53A9"/>
    <w:rsid w:val="004E29B4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5F427B"/>
    <w:rsid w:val="006126FE"/>
    <w:rsid w:val="00613CE9"/>
    <w:rsid w:val="00617635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B64D6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A277D"/>
    <w:rsid w:val="008B2E54"/>
    <w:rsid w:val="008B6085"/>
    <w:rsid w:val="008C2693"/>
    <w:rsid w:val="008C38D5"/>
    <w:rsid w:val="008C7A41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D5FBB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C64EA"/>
    <w:rsid w:val="00BD741B"/>
    <w:rsid w:val="00BD7FD3"/>
    <w:rsid w:val="00BF05E5"/>
    <w:rsid w:val="00BF3D90"/>
    <w:rsid w:val="00BF6726"/>
    <w:rsid w:val="00C00168"/>
    <w:rsid w:val="00C04E7B"/>
    <w:rsid w:val="00C0548A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31C1"/>
    <w:rsid w:val="00C653FB"/>
    <w:rsid w:val="00C657FA"/>
    <w:rsid w:val="00C73B42"/>
    <w:rsid w:val="00C775B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164D0"/>
    <w:rsid w:val="00E23547"/>
    <w:rsid w:val="00E24D89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148"/>
    <w:rsid w:val="00E846BA"/>
    <w:rsid w:val="00E84AE8"/>
    <w:rsid w:val="00E86C47"/>
    <w:rsid w:val="00E92CC7"/>
    <w:rsid w:val="00E93D45"/>
    <w:rsid w:val="00EA5F73"/>
    <w:rsid w:val="00EB404E"/>
    <w:rsid w:val="00EB514C"/>
    <w:rsid w:val="00EC14B1"/>
    <w:rsid w:val="00EC6379"/>
    <w:rsid w:val="00ED507C"/>
    <w:rsid w:val="00EE38CD"/>
    <w:rsid w:val="00EE6D2C"/>
    <w:rsid w:val="00EF7326"/>
    <w:rsid w:val="00F02271"/>
    <w:rsid w:val="00F05AE5"/>
    <w:rsid w:val="00F22C99"/>
    <w:rsid w:val="00F334A7"/>
    <w:rsid w:val="00F35569"/>
    <w:rsid w:val="00F3618F"/>
    <w:rsid w:val="00F36274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1DC1782"/>
    <w:rsid w:val="045B766F"/>
    <w:rsid w:val="6EC979E4"/>
    <w:rsid w:val="B7FF94F4"/>
    <w:rsid w:val="FCEFB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5">
    <w:name w:val="keyword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206</Words>
  <Characters>1176</Characters>
  <Lines>9</Lines>
  <Paragraphs>2</Paragraphs>
  <TotalTime>6</TotalTime>
  <ScaleCrop>false</ScaleCrop>
  <LinksUpToDate>false</LinksUpToDate>
  <CharactersWithSpaces>1380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2015-11-23T15:41:00Z</dcterms:created>
  <dc:creator>雨林木风</dc:creator>
  <cp:lastModifiedBy>Administrator</cp:lastModifiedBy>
  <cp:lastPrinted>2013-11-12T09:54:00Z</cp:lastPrinted>
  <dcterms:modified xsi:type="dcterms:W3CDTF">2021-03-03T09:05:45Z</dcterms:modified>
  <dc:title>No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