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299507" w14:textId="3486383B" w:rsidR="009F4D75" w:rsidRDefault="001D357A" w:rsidP="001D357A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1D357A">
        <w:rPr>
          <w:rFonts w:ascii="微软雅黑" w:eastAsia="微软雅黑" w:hAnsi="微软雅黑" w:hint="eastAsia"/>
          <w:b/>
          <w:sz w:val="32"/>
          <w:szCs w:val="32"/>
        </w:rPr>
        <w:t>浦发银行</w:t>
      </w:r>
      <w:r w:rsidR="00985C4E" w:rsidRPr="00985C4E">
        <w:rPr>
          <w:rFonts w:ascii="微软雅黑" w:eastAsia="微软雅黑" w:hAnsi="微软雅黑" w:hint="eastAsia"/>
          <w:b/>
          <w:sz w:val="32"/>
          <w:szCs w:val="32"/>
        </w:rPr>
        <w:t>×</w:t>
      </w:r>
      <w:r w:rsidRPr="001D357A">
        <w:rPr>
          <w:rFonts w:ascii="微软雅黑" w:eastAsia="微软雅黑" w:hAnsi="微软雅黑" w:hint="eastAsia"/>
          <w:b/>
          <w:sz w:val="32"/>
          <w:szCs w:val="32"/>
        </w:rPr>
        <w:t>小米创新营销案</w:t>
      </w:r>
    </w:p>
    <w:p w14:paraId="7557FEC4" w14:textId="77777777" w:rsidR="009F4D75" w:rsidRDefault="005A59C9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 告 主：</w:t>
      </w:r>
      <w:r>
        <w:rPr>
          <w:rFonts w:ascii="微软雅黑" w:eastAsia="微软雅黑" w:hAnsi="微软雅黑" w:hint="eastAsia"/>
          <w:bCs/>
          <w:sz w:val="21"/>
          <w:szCs w:val="21"/>
        </w:rPr>
        <w:t>浦发银行</w:t>
      </w:r>
    </w:p>
    <w:p w14:paraId="4BD58C74" w14:textId="3B24B9A1" w:rsidR="009F4D75" w:rsidRPr="00B0365E" w:rsidRDefault="005A59C9" w:rsidP="00B0365E">
      <w:pPr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 w:rsidR="00B0365E" w:rsidRPr="00B0365E">
        <w:rPr>
          <w:rFonts w:ascii="微软雅黑" w:eastAsia="微软雅黑" w:hAnsi="微软雅黑" w:hint="eastAsia"/>
          <w:bCs/>
          <w:sz w:val="21"/>
          <w:szCs w:val="21"/>
        </w:rPr>
        <w:t>金融/保险服务类</w:t>
      </w:r>
    </w:p>
    <w:p w14:paraId="5A7A23AB" w14:textId="1156AE3B" w:rsidR="009F4D75" w:rsidRDefault="005A59C9">
      <w:pPr>
        <w:textAlignment w:val="baseline"/>
        <w:rPr>
          <w:rFonts w:ascii="微软雅黑" w:eastAsia="微软雅黑" w:hAnsi="微软雅黑"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>
        <w:rPr>
          <w:rFonts w:ascii="微软雅黑" w:eastAsia="微软雅黑" w:hAnsi="微软雅黑" w:hint="eastAsia"/>
          <w:bCs/>
          <w:sz w:val="21"/>
          <w:szCs w:val="21"/>
        </w:rPr>
        <w:t>2</w:t>
      </w:r>
      <w:r>
        <w:rPr>
          <w:rFonts w:ascii="微软雅黑" w:eastAsia="微软雅黑" w:hAnsi="微软雅黑"/>
          <w:bCs/>
          <w:sz w:val="21"/>
          <w:szCs w:val="21"/>
        </w:rPr>
        <w:t>020.11.20-12.03</w:t>
      </w:r>
    </w:p>
    <w:p w14:paraId="183F0FDD" w14:textId="1C8023E8" w:rsidR="009F4D75" w:rsidRPr="001D357A" w:rsidRDefault="005A59C9" w:rsidP="001D357A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1D357A" w:rsidRPr="001D357A">
        <w:rPr>
          <w:rFonts w:ascii="微软雅黑" w:eastAsia="微软雅黑" w:hAnsi="微软雅黑" w:hint="eastAsia"/>
          <w:bCs/>
          <w:sz w:val="21"/>
          <w:szCs w:val="21"/>
        </w:rPr>
        <w:t>效果营销类</w:t>
      </w:r>
    </w:p>
    <w:p w14:paraId="071F525E" w14:textId="12788CB4" w:rsidR="009F4D75" w:rsidRPr="001D357A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57A7A42F" w14:textId="77777777" w:rsidR="009F4D75" w:rsidRDefault="005A59C9" w:rsidP="00985C4E">
      <w:pPr>
        <w:pStyle w:val="af1"/>
        <w:numPr>
          <w:ilvl w:val="0"/>
          <w:numId w:val="11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行业发展背景：</w:t>
      </w:r>
    </w:p>
    <w:p w14:paraId="55527637" w14:textId="77777777" w:rsidR="009F4D75" w:rsidRPr="001D357A" w:rsidRDefault="005A59C9" w:rsidP="00985C4E">
      <w:pPr>
        <w:pStyle w:val="af1"/>
        <w:spacing w:before="100" w:beforeAutospacing="1" w:after="100" w:afterAutospacing="1"/>
        <w:ind w:left="420" w:firstLineChars="0" w:firstLine="0"/>
        <w:textAlignment w:val="baseline"/>
        <w:rPr>
          <w:rFonts w:ascii="微软雅黑" w:eastAsia="微软雅黑" w:hAnsi="微软雅黑"/>
          <w:b/>
          <w:szCs w:val="21"/>
        </w:rPr>
      </w:pPr>
      <w:r w:rsidRPr="00F826B5">
        <w:rPr>
          <w:rFonts w:ascii="微软雅黑" w:eastAsia="微软雅黑" w:hAnsi="微软雅黑" w:cs="宋体" w:hint="eastAsia"/>
          <w:kern w:val="0"/>
          <w:szCs w:val="21"/>
        </w:rPr>
        <w:t>在金融数字化潮流和全球疫情影响下，传统银行的“脱媒”趋势愈发明显。近些年商业银行在网上银行、手机银行等电子渠道大大降低了银行和客户的交易成本，但是针对性服务的缺失，导致银行网上银行、</w:t>
      </w:r>
      <w:r w:rsidRPr="00F826B5">
        <w:rPr>
          <w:rFonts w:ascii="微软雅黑" w:eastAsia="微软雅黑" w:hAnsi="微软雅黑" w:cs="宋体"/>
          <w:kern w:val="0"/>
          <w:szCs w:val="21"/>
        </w:rPr>
        <w:t>APP等日益成为一种“超低频”渠道，在客户生活圈中边缘化趋势明显。</w:t>
      </w:r>
      <w:r w:rsidRPr="00F826B5">
        <w:rPr>
          <w:rFonts w:ascii="微软雅黑" w:eastAsia="微软雅黑" w:hAnsi="微软雅黑" w:cs="宋体" w:hint="eastAsia"/>
          <w:kern w:val="0"/>
          <w:szCs w:val="21"/>
        </w:rPr>
        <w:t>提升客户黏性、强化客户活跃度，提升银行自身数据的价值，成为商业银行亟待解决的问题。</w:t>
      </w:r>
      <w:r w:rsidRPr="001D357A">
        <w:rPr>
          <w:rFonts w:ascii="微软雅黑" w:eastAsia="微软雅黑" w:hAnsi="微软雅黑" w:hint="eastAsia"/>
          <w:b/>
          <w:szCs w:val="21"/>
        </w:rPr>
        <w:t>在互联网流量红利趋于饱和的情况下，银行在获客、留客、</w:t>
      </w:r>
      <w:proofErr w:type="gramStart"/>
      <w:r w:rsidRPr="001D357A">
        <w:rPr>
          <w:rFonts w:ascii="微软雅黑" w:eastAsia="微软雅黑" w:hAnsi="微软雅黑" w:hint="eastAsia"/>
          <w:b/>
          <w:szCs w:val="21"/>
        </w:rPr>
        <w:t>活客方面</w:t>
      </w:r>
      <w:proofErr w:type="gramEnd"/>
      <w:r w:rsidRPr="001D357A">
        <w:rPr>
          <w:rFonts w:ascii="微软雅黑" w:eastAsia="微软雅黑" w:hAnsi="微软雅黑" w:hint="eastAsia"/>
          <w:b/>
          <w:szCs w:val="21"/>
        </w:rPr>
        <w:t>面临着巨大的挑战，而</w:t>
      </w:r>
      <w:r w:rsidRPr="001D357A">
        <w:rPr>
          <w:rFonts w:ascii="微软雅黑" w:eastAsia="微软雅黑" w:hAnsi="微软雅黑"/>
          <w:b/>
          <w:szCs w:val="18"/>
        </w:rPr>
        <w:t>基于银行自有客户的电商体系，成为</w:t>
      </w:r>
      <w:r w:rsidRPr="001D357A">
        <w:rPr>
          <w:rFonts w:ascii="微软雅黑" w:eastAsia="微软雅黑" w:hAnsi="微软雅黑" w:hint="eastAsia"/>
          <w:b/>
          <w:szCs w:val="18"/>
        </w:rPr>
        <w:t>传统</w:t>
      </w:r>
      <w:r w:rsidRPr="001D357A">
        <w:rPr>
          <w:rFonts w:ascii="微软雅黑" w:eastAsia="微软雅黑" w:hAnsi="微软雅黑"/>
          <w:b/>
          <w:szCs w:val="18"/>
        </w:rPr>
        <w:t>银行</w:t>
      </w:r>
      <w:r w:rsidRPr="001D357A">
        <w:rPr>
          <w:rFonts w:ascii="微软雅黑" w:eastAsia="微软雅黑" w:hAnsi="微软雅黑" w:hint="eastAsia"/>
          <w:b/>
          <w:szCs w:val="18"/>
        </w:rPr>
        <w:t>线</w:t>
      </w:r>
      <w:proofErr w:type="gramStart"/>
      <w:r w:rsidRPr="001D357A">
        <w:rPr>
          <w:rFonts w:ascii="微软雅黑" w:eastAsia="微软雅黑" w:hAnsi="微软雅黑" w:hint="eastAsia"/>
          <w:b/>
          <w:szCs w:val="18"/>
        </w:rPr>
        <w:t>上获客</w:t>
      </w:r>
      <w:r w:rsidRPr="001D357A">
        <w:rPr>
          <w:rFonts w:ascii="微软雅黑" w:eastAsia="微软雅黑" w:hAnsi="微软雅黑"/>
          <w:b/>
          <w:szCs w:val="18"/>
        </w:rPr>
        <w:t>的</w:t>
      </w:r>
      <w:proofErr w:type="gramEnd"/>
      <w:r w:rsidRPr="001D357A">
        <w:rPr>
          <w:rFonts w:ascii="微软雅黑" w:eastAsia="微软雅黑" w:hAnsi="微软雅黑"/>
          <w:b/>
          <w:szCs w:val="18"/>
        </w:rPr>
        <w:t>突破口。</w:t>
      </w:r>
    </w:p>
    <w:p w14:paraId="578DFF56" w14:textId="77777777" w:rsidR="009F4D75" w:rsidRDefault="005A59C9" w:rsidP="00985C4E">
      <w:pPr>
        <w:pStyle w:val="af1"/>
        <w:numPr>
          <w:ilvl w:val="0"/>
          <w:numId w:val="11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品牌传播背景：</w:t>
      </w:r>
    </w:p>
    <w:p w14:paraId="196320E0" w14:textId="1570513B" w:rsidR="009F4D75" w:rsidRPr="001D357A" w:rsidRDefault="005A59C9" w:rsidP="00985C4E">
      <w:pPr>
        <w:spacing w:before="100" w:beforeAutospacing="1" w:after="100" w:afterAutospacing="1"/>
        <w:ind w:leftChars="200" w:left="48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在数字经济快速发展的当下，浦发银行审时度势，围绕生活服务等高频场景</w:t>
      </w:r>
      <w:r>
        <w:rPr>
          <w:rFonts w:ascii="微软雅黑" w:eastAsia="微软雅黑" w:hAnsi="微软雅黑" w:hint="eastAsia"/>
          <w:bCs/>
          <w:sz w:val="21"/>
          <w:szCs w:val="21"/>
        </w:rPr>
        <w:t>，将银行金融服务、非金融服务与企业、互联网平台等第三</w:t>
      </w:r>
      <w:proofErr w:type="gramStart"/>
      <w:r>
        <w:rPr>
          <w:rFonts w:ascii="微软雅黑" w:eastAsia="微软雅黑" w:hAnsi="微软雅黑" w:hint="eastAsia"/>
          <w:bCs/>
          <w:sz w:val="21"/>
          <w:szCs w:val="21"/>
        </w:rPr>
        <w:t>方服务</w:t>
      </w:r>
      <w:proofErr w:type="gramEnd"/>
      <w:r>
        <w:rPr>
          <w:rFonts w:ascii="微软雅黑" w:eastAsia="微软雅黑" w:hAnsi="微软雅黑" w:hint="eastAsia"/>
          <w:bCs/>
          <w:sz w:val="21"/>
          <w:szCs w:val="21"/>
        </w:rPr>
        <w:t>进行深度结合，把场景服务触角延伸到</w:t>
      </w:r>
      <w:r>
        <w:rPr>
          <w:rFonts w:ascii="微软雅黑" w:eastAsia="微软雅黑" w:hAnsi="微软雅黑"/>
          <w:bCs/>
          <w:sz w:val="21"/>
          <w:szCs w:val="21"/>
        </w:rPr>
        <w:t>B、C端客户，</w:t>
      </w:r>
      <w:r>
        <w:rPr>
          <w:rFonts w:ascii="微软雅黑" w:eastAsia="微软雅黑" w:hAnsi="微软雅黑" w:hint="eastAsia"/>
          <w:sz w:val="21"/>
          <w:szCs w:val="21"/>
        </w:rPr>
        <w:t>孵化推出</w:t>
      </w:r>
      <w:r>
        <w:rPr>
          <w:rFonts w:ascii="微软雅黑" w:eastAsia="微软雅黑" w:hAnsi="微软雅黑"/>
          <w:b/>
          <w:bCs/>
          <w:sz w:val="21"/>
          <w:szCs w:val="21"/>
        </w:rPr>
        <w:t>专注于打造“惠生活，更会生活”理念的智能型APP——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浦惠到家</w:t>
      </w:r>
      <w:proofErr w:type="gramEnd"/>
      <w:r>
        <w:rPr>
          <w:rFonts w:ascii="微软雅黑" w:eastAsia="微软雅黑" w:hAnsi="微软雅黑"/>
          <w:b/>
          <w:bCs/>
          <w:sz w:val="21"/>
          <w:szCs w:val="21"/>
        </w:rPr>
        <w:t>数字化平台，持续深耕场景应用，全方位服务C端客户，赋能服务B端客户。</w:t>
      </w:r>
    </w:p>
    <w:p w14:paraId="7DC5F189" w14:textId="35BA8B31" w:rsidR="009F4D75" w:rsidRPr="001D357A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2DCFFD5F" w14:textId="0F1DF126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sz w:val="21"/>
          <w:szCs w:val="21"/>
        </w:rPr>
        <w:t>基于浦惠到家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A</w:t>
      </w:r>
      <w:r>
        <w:rPr>
          <w:rFonts w:ascii="微软雅黑" w:eastAsia="微软雅黑" w:hAnsi="微软雅黑"/>
          <w:sz w:val="21"/>
          <w:szCs w:val="21"/>
        </w:rPr>
        <w:t>PP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线上获客、留客、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活客的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推广诉求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对浦惠到家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进行相关洞察</w:t>
      </w:r>
      <w:r w:rsidR="00E9091C">
        <w:rPr>
          <w:rFonts w:ascii="微软雅黑" w:eastAsia="微软雅黑" w:hAnsi="微软雅黑" w:hint="eastAsia"/>
          <w:sz w:val="21"/>
          <w:szCs w:val="21"/>
        </w:rPr>
        <w:t>。</w:t>
      </w:r>
    </w:p>
    <w:p w14:paraId="1F37EEDE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t>受众洞察：</w:t>
      </w:r>
    </w:p>
    <w:p w14:paraId="3FD38DD2" w14:textId="77777777" w:rsidR="009F4D75" w:rsidRDefault="005A59C9" w:rsidP="00985C4E">
      <w:pPr>
        <w:pStyle w:val="af1"/>
        <w:numPr>
          <w:ilvl w:val="0"/>
          <w:numId w:val="12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截至2</w:t>
      </w:r>
      <w:r>
        <w:rPr>
          <w:rFonts w:ascii="微软雅黑" w:eastAsia="微软雅黑" w:hAnsi="微软雅黑"/>
          <w:szCs w:val="21"/>
        </w:rPr>
        <w:t>020</w:t>
      </w:r>
      <w:r>
        <w:rPr>
          <w:rFonts w:ascii="微软雅黑" w:eastAsia="微软雅黑" w:hAnsi="微软雅黑" w:hint="eastAsia"/>
          <w:szCs w:val="21"/>
        </w:rPr>
        <w:t>年1</w:t>
      </w:r>
      <w:r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月，</w:t>
      </w:r>
      <w:proofErr w:type="gramStart"/>
      <w:r>
        <w:rPr>
          <w:rFonts w:ascii="微软雅黑" w:eastAsia="微软雅黑" w:hAnsi="微软雅黑" w:hint="eastAsia"/>
          <w:szCs w:val="21"/>
        </w:rPr>
        <w:t>浦惠到家</w:t>
      </w:r>
      <w:proofErr w:type="gramEnd"/>
      <w:r>
        <w:rPr>
          <w:rFonts w:ascii="微软雅黑" w:eastAsia="微软雅黑" w:hAnsi="微软雅黑" w:hint="eastAsia"/>
          <w:szCs w:val="21"/>
        </w:rPr>
        <w:t>A</w:t>
      </w:r>
      <w:r>
        <w:rPr>
          <w:rFonts w:ascii="微软雅黑" w:eastAsia="微软雅黑" w:hAnsi="微软雅黑"/>
          <w:szCs w:val="21"/>
        </w:rPr>
        <w:t>PP</w:t>
      </w:r>
      <w:r>
        <w:rPr>
          <w:rFonts w:ascii="微软雅黑" w:eastAsia="微软雅黑" w:hAnsi="微软雅黑" w:hint="eastAsia"/>
          <w:szCs w:val="21"/>
        </w:rPr>
        <w:t>用户已突破1</w:t>
      </w:r>
      <w:r>
        <w:rPr>
          <w:rFonts w:ascii="微软雅黑" w:eastAsia="微软雅黑" w:hAnsi="微软雅黑"/>
          <w:szCs w:val="21"/>
        </w:rPr>
        <w:t>000</w:t>
      </w:r>
      <w:r>
        <w:rPr>
          <w:rFonts w:ascii="微软雅黑" w:eastAsia="微软雅黑" w:hAnsi="微软雅黑" w:hint="eastAsia"/>
          <w:szCs w:val="21"/>
        </w:rPr>
        <w:t>万，用户属性偏向年轻化、追求高品质生活、以金融用户为主；</w:t>
      </w:r>
    </w:p>
    <w:p w14:paraId="31F47C98" w14:textId="77777777" w:rsidR="009F4D75" w:rsidRDefault="005A59C9" w:rsidP="00985C4E">
      <w:pPr>
        <w:pStyle w:val="af1"/>
        <w:numPr>
          <w:ilvl w:val="0"/>
          <w:numId w:val="12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截至</w:t>
      </w:r>
      <w:r>
        <w:rPr>
          <w:rFonts w:ascii="微软雅黑" w:eastAsia="微软雅黑" w:hAnsi="微软雅黑"/>
          <w:szCs w:val="21"/>
        </w:rPr>
        <w:t>2019年4月，小米运动注册</w:t>
      </w:r>
      <w:proofErr w:type="gramStart"/>
      <w:r>
        <w:rPr>
          <w:rFonts w:ascii="微软雅黑" w:eastAsia="微软雅黑" w:hAnsi="微软雅黑"/>
          <w:szCs w:val="21"/>
        </w:rPr>
        <w:t>量正式突破</w:t>
      </w:r>
      <w:proofErr w:type="gramEnd"/>
      <w:r>
        <w:rPr>
          <w:rFonts w:ascii="微软雅黑" w:eastAsia="微软雅黑" w:hAnsi="微软雅黑"/>
          <w:szCs w:val="21"/>
        </w:rPr>
        <w:t>1亿，月均活跃用户数达2100万。用户年龄层主要集中在17岁到35岁之间</w:t>
      </w:r>
      <w:r>
        <w:rPr>
          <w:rFonts w:ascii="微软雅黑" w:eastAsia="微软雅黑" w:hAnsi="微软雅黑" w:hint="eastAsia"/>
          <w:szCs w:val="21"/>
        </w:rPr>
        <w:t>，小米的用户人群是有消费能力、有生活追求、有分享欲的优质种子用户。</w:t>
      </w:r>
      <w:r>
        <w:rPr>
          <w:rFonts w:ascii="微软雅黑" w:eastAsia="微软雅黑" w:hAnsi="微软雅黑" w:hint="eastAsia"/>
          <w:b/>
          <w:bCs/>
          <w:szCs w:val="21"/>
        </w:rPr>
        <w:t>用户圈层画像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与浦惠到家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的目标群体高度吻合，同样具备热爱生活、关注健康、追求品质生活等用户特性。</w:t>
      </w:r>
    </w:p>
    <w:p w14:paraId="0B5C9BC1" w14:textId="2976E0AE" w:rsidR="009F4D75" w:rsidRDefault="009F4D75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50963DC4" w14:textId="77777777" w:rsidR="00985C4E" w:rsidRDefault="00985C4E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</w:p>
    <w:p w14:paraId="7ACFE7FE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品牌洞察：</w:t>
      </w:r>
    </w:p>
    <w:p w14:paraId="1503F3E9" w14:textId="77777777" w:rsidR="009F4D75" w:rsidRDefault="005A59C9" w:rsidP="00985C4E">
      <w:pPr>
        <w:pStyle w:val="af1"/>
        <w:numPr>
          <w:ilvl w:val="0"/>
          <w:numId w:val="13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构建场景金融生态，是金融服务发展到一定阶段的必然产物。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浦惠到家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A</w:t>
      </w:r>
      <w:r>
        <w:rPr>
          <w:rFonts w:ascii="微软雅黑" w:eastAsia="微软雅黑" w:hAnsi="微软雅黑"/>
          <w:b/>
          <w:bCs/>
          <w:szCs w:val="21"/>
        </w:rPr>
        <w:t>PP</w:t>
      </w:r>
      <w:r>
        <w:rPr>
          <w:rFonts w:ascii="微软雅黑" w:eastAsia="微软雅黑" w:hAnsi="微软雅黑" w:hint="eastAsia"/>
          <w:b/>
          <w:bCs/>
          <w:szCs w:val="21"/>
        </w:rPr>
        <w:t>从客户“衣食住行”的需求出发，搭载浦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发金融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服务，形成聚客、获客、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活客的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生态圈，通过场景化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营销触达用户需求</w:t>
      </w:r>
      <w:proofErr w:type="gramEnd"/>
      <w:r>
        <w:rPr>
          <w:rFonts w:ascii="微软雅黑" w:eastAsia="微软雅黑" w:hAnsi="微软雅黑" w:hint="eastAsia"/>
          <w:szCs w:val="21"/>
        </w:rPr>
        <w:t>；</w:t>
      </w:r>
    </w:p>
    <w:p w14:paraId="53B0F634" w14:textId="77777777" w:rsidR="009F4D75" w:rsidRDefault="005A59C9" w:rsidP="00985C4E">
      <w:pPr>
        <w:pStyle w:val="af1"/>
        <w:numPr>
          <w:ilvl w:val="0"/>
          <w:numId w:val="13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基于浦惠到家</w:t>
      </w:r>
      <w:proofErr w:type="gramEnd"/>
      <w:r>
        <w:rPr>
          <w:rFonts w:ascii="微软雅黑" w:eastAsia="微软雅黑" w:hAnsi="微软雅黑" w:hint="eastAsia"/>
          <w:szCs w:val="21"/>
        </w:rPr>
        <w:t>及小米两大平台同时具有</w:t>
      </w:r>
      <w:r>
        <w:rPr>
          <w:rFonts w:ascii="微软雅黑" w:eastAsia="微软雅黑" w:hAnsi="微软雅黑" w:hint="eastAsia"/>
          <w:b/>
          <w:bCs/>
          <w:szCs w:val="21"/>
        </w:rPr>
        <w:t>追求品质生活、关注健康的用户属性</w:t>
      </w:r>
      <w:r>
        <w:rPr>
          <w:rFonts w:ascii="微软雅黑" w:eastAsia="微软雅黑" w:hAnsi="微软雅黑" w:hint="eastAsia"/>
          <w:szCs w:val="21"/>
        </w:rPr>
        <w:t>的洞察下，</w:t>
      </w:r>
      <w:r>
        <w:rPr>
          <w:rFonts w:ascii="微软雅黑" w:eastAsia="微软雅黑" w:hAnsi="微软雅黑" w:hint="eastAsia"/>
          <w:b/>
          <w:bCs/>
          <w:szCs w:val="21"/>
        </w:rPr>
        <w:t>精准定向目标人群</w:t>
      </w:r>
      <w:r>
        <w:rPr>
          <w:rFonts w:ascii="微软雅黑" w:eastAsia="微软雅黑" w:hAnsi="微软雅黑" w:hint="eastAsia"/>
          <w:szCs w:val="21"/>
        </w:rPr>
        <w:t>；借助疫情健康热点话题，结合用户习惯，以“步数打卡”为形式打造一场健康优质生活的积极正能量主题活动，</w:t>
      </w:r>
      <w:r>
        <w:rPr>
          <w:rFonts w:ascii="微软雅黑" w:eastAsia="微软雅黑" w:hAnsi="微软雅黑" w:hint="eastAsia"/>
          <w:b/>
          <w:bCs/>
          <w:szCs w:val="21"/>
        </w:rPr>
        <w:t>在小米多场景媒介资源下，锁定小米运动APP作为活动合作载体，进一步精准定向圈层用户。</w:t>
      </w:r>
      <w:r>
        <w:rPr>
          <w:rFonts w:ascii="微软雅黑" w:eastAsia="微软雅黑" w:hAnsi="微软雅黑" w:hint="eastAsia"/>
          <w:szCs w:val="21"/>
        </w:rPr>
        <w:t>以趣味性的互动形式调动用户的参与度，在营销中实现与目标消费者的双向沟通，传达和深化“惠生活，更会生活”的品牌主张，以增加用户对品牌的喜爱度；</w:t>
      </w:r>
    </w:p>
    <w:p w14:paraId="46E20A72" w14:textId="77777777" w:rsidR="009F4D75" w:rsidRDefault="005A59C9" w:rsidP="00985C4E">
      <w:pPr>
        <w:pStyle w:val="af1"/>
        <w:numPr>
          <w:ilvl w:val="0"/>
          <w:numId w:val="13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通过小米营销平台的大数据分析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获取</w:t>
      </w:r>
      <w:r>
        <w:rPr>
          <w:rFonts w:ascii="微软雅黑" w:eastAsia="微软雅黑" w:hAnsi="微软雅黑"/>
          <w:b/>
          <w:bCs/>
          <w:szCs w:val="21"/>
        </w:rPr>
        <w:t>浦惠到家</w:t>
      </w:r>
      <w:proofErr w:type="gramEnd"/>
      <w:r>
        <w:rPr>
          <w:rFonts w:ascii="微软雅黑" w:eastAsia="微软雅黑" w:hAnsi="微软雅黑"/>
          <w:b/>
          <w:bCs/>
          <w:szCs w:val="21"/>
        </w:rPr>
        <w:t>APP用户的行为特征，</w:t>
      </w:r>
      <w:r>
        <w:rPr>
          <w:rFonts w:ascii="微软雅黑" w:eastAsia="微软雅黑" w:hAnsi="微软雅黑" w:hint="eastAsia"/>
          <w:b/>
          <w:bCs/>
          <w:szCs w:val="21"/>
        </w:rPr>
        <w:t>捕捉用户内容，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触达用户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喜好，</w:t>
      </w:r>
      <w:r>
        <w:rPr>
          <w:rFonts w:ascii="微软雅黑" w:eastAsia="微软雅黑" w:hAnsi="微软雅黑"/>
          <w:b/>
          <w:bCs/>
          <w:szCs w:val="21"/>
        </w:rPr>
        <w:t>运用小米DMP平台中的lookalike功能，匹配</w:t>
      </w:r>
      <w:proofErr w:type="gramStart"/>
      <w:r>
        <w:rPr>
          <w:rFonts w:ascii="微软雅黑" w:eastAsia="微软雅黑" w:hAnsi="微软雅黑"/>
          <w:b/>
          <w:bCs/>
          <w:szCs w:val="21"/>
        </w:rPr>
        <w:t>与浦惠到家</w:t>
      </w:r>
      <w:proofErr w:type="gramEnd"/>
      <w:r>
        <w:rPr>
          <w:rFonts w:ascii="微软雅黑" w:eastAsia="微软雅黑" w:hAnsi="微软雅黑"/>
          <w:b/>
          <w:bCs/>
          <w:szCs w:val="21"/>
        </w:rPr>
        <w:t>APP相似人群</w:t>
      </w:r>
      <w:r>
        <w:rPr>
          <w:rFonts w:ascii="微软雅黑" w:eastAsia="微软雅黑" w:hAnsi="微软雅黑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以小米浏览器、</w:t>
      </w:r>
      <w:r>
        <w:rPr>
          <w:rFonts w:ascii="微软雅黑" w:eastAsia="微软雅黑" w:hAnsi="微软雅黑"/>
          <w:bCs/>
          <w:szCs w:val="21"/>
        </w:rPr>
        <w:t>主题壁纸</w:t>
      </w:r>
      <w:r>
        <w:rPr>
          <w:rFonts w:ascii="微软雅黑" w:eastAsia="微软雅黑" w:hAnsi="微软雅黑"/>
          <w:szCs w:val="21"/>
        </w:rPr>
        <w:t>等</w:t>
      </w:r>
      <w:r>
        <w:rPr>
          <w:rFonts w:ascii="微软雅黑" w:eastAsia="微软雅黑" w:hAnsi="微软雅黑" w:hint="eastAsia"/>
          <w:szCs w:val="21"/>
        </w:rPr>
        <w:t>使用频率高，备受年轻群体青睐的资源位，通过</w:t>
      </w:r>
      <w:r>
        <w:rPr>
          <w:rFonts w:ascii="微软雅黑" w:eastAsia="微软雅黑" w:hAnsi="微软雅黑"/>
          <w:szCs w:val="21"/>
        </w:rPr>
        <w:t>多场景的媒介渠道助力品牌覆盖更广泛年轻用户群</w:t>
      </w:r>
      <w:r>
        <w:rPr>
          <w:rFonts w:ascii="微软雅黑" w:eastAsia="微软雅黑" w:hAnsi="微软雅黑" w:hint="eastAsia"/>
          <w:szCs w:val="21"/>
        </w:rPr>
        <w:t>；</w:t>
      </w:r>
    </w:p>
    <w:p w14:paraId="68265B6F" w14:textId="5C632A9D" w:rsidR="009F4D75" w:rsidRPr="001D357A" w:rsidRDefault="005A59C9" w:rsidP="00985C4E">
      <w:pPr>
        <w:pStyle w:val="af1"/>
        <w:numPr>
          <w:ilvl w:val="0"/>
          <w:numId w:val="13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通过小米营销平台大数据精准定向用户，以精准化的运营投放方式，完美解决客户效果问题，让营销活动真正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做到品效合一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，精准获客</w:t>
      </w:r>
      <w:r>
        <w:rPr>
          <w:rFonts w:ascii="微软雅黑" w:eastAsia="微软雅黑" w:hAnsi="微软雅黑" w:hint="eastAsia"/>
          <w:szCs w:val="21"/>
        </w:rPr>
        <w:t>。</w:t>
      </w:r>
    </w:p>
    <w:p w14:paraId="228EA624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营销策略：</w:t>
      </w:r>
    </w:p>
    <w:p w14:paraId="55886D5F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bCs/>
          <w:sz w:val="21"/>
          <w:szCs w:val="21"/>
        </w:rPr>
        <w:t>以</w:t>
      </w:r>
      <w:r>
        <w:rPr>
          <w:rFonts w:ascii="微软雅黑" w:eastAsia="微软雅黑" w:hAnsi="微软雅黑"/>
          <w:sz w:val="21"/>
          <w:szCs w:val="21"/>
        </w:rPr>
        <w:t>“惠生活，更会生活”</w:t>
      </w:r>
      <w:r>
        <w:rPr>
          <w:rFonts w:ascii="微软雅黑" w:eastAsia="微软雅黑" w:hAnsi="微软雅黑"/>
          <w:bCs/>
          <w:sz w:val="21"/>
          <w:szCs w:val="21"/>
        </w:rPr>
        <w:t>的品牌</w:t>
      </w:r>
      <w:r>
        <w:rPr>
          <w:rFonts w:ascii="微软雅黑" w:eastAsia="微软雅黑" w:hAnsi="微软雅黑" w:hint="eastAsia"/>
          <w:bCs/>
          <w:sz w:val="21"/>
          <w:szCs w:val="21"/>
        </w:rPr>
        <w:t>理念</w:t>
      </w:r>
      <w:proofErr w:type="gramStart"/>
      <w:r>
        <w:rPr>
          <w:rFonts w:ascii="微软雅黑" w:eastAsia="微软雅黑" w:hAnsi="微软雅黑"/>
          <w:bCs/>
          <w:sz w:val="21"/>
          <w:szCs w:val="21"/>
        </w:rPr>
        <w:t>圈连目标</w:t>
      </w:r>
      <w:proofErr w:type="gramEnd"/>
      <w:r>
        <w:rPr>
          <w:rFonts w:ascii="微软雅黑" w:eastAsia="微软雅黑" w:hAnsi="微软雅黑"/>
          <w:bCs/>
          <w:sz w:val="21"/>
          <w:szCs w:val="21"/>
        </w:rPr>
        <w:t>受众人群，将</w:t>
      </w:r>
      <w:r>
        <w:rPr>
          <w:rFonts w:ascii="微软雅黑" w:eastAsia="微软雅黑" w:hAnsi="微软雅黑" w:hint="eastAsia"/>
          <w:bCs/>
          <w:sz w:val="21"/>
          <w:szCs w:val="21"/>
        </w:rPr>
        <w:t>小米运动</w:t>
      </w:r>
      <w:proofErr w:type="gramStart"/>
      <w:r>
        <w:rPr>
          <w:rFonts w:ascii="微软雅黑" w:eastAsia="微软雅黑" w:hAnsi="微软雅黑"/>
          <w:bCs/>
          <w:sz w:val="21"/>
          <w:szCs w:val="21"/>
        </w:rPr>
        <w:t>作为</w:t>
      </w:r>
      <w:r>
        <w:rPr>
          <w:rFonts w:ascii="微软雅黑" w:eastAsia="微软雅黑" w:hAnsi="微软雅黑" w:hint="eastAsia"/>
          <w:bCs/>
          <w:sz w:val="21"/>
          <w:szCs w:val="21"/>
        </w:rPr>
        <w:t>浦惠到家</w:t>
      </w:r>
      <w:proofErr w:type="gramEnd"/>
      <w:r>
        <w:rPr>
          <w:rFonts w:ascii="微软雅黑" w:eastAsia="微软雅黑" w:hAnsi="微软雅黑"/>
          <w:bCs/>
          <w:sz w:val="21"/>
          <w:szCs w:val="21"/>
        </w:rPr>
        <w:t>的合</w:t>
      </w:r>
      <w:r>
        <w:rPr>
          <w:rFonts w:ascii="微软雅黑" w:eastAsia="微软雅黑" w:hAnsi="微软雅黑" w:hint="eastAsia"/>
          <w:bCs/>
          <w:sz w:val="21"/>
          <w:szCs w:val="21"/>
        </w:rPr>
        <w:t>作伙伴，</w:t>
      </w:r>
      <w:r>
        <w:rPr>
          <w:rFonts w:ascii="微软雅黑" w:eastAsia="微软雅黑" w:hAnsi="微软雅黑" w:hint="eastAsia"/>
          <w:b/>
          <w:sz w:val="21"/>
          <w:szCs w:val="21"/>
        </w:rPr>
        <w:t>融入线上线下场景</w:t>
      </w:r>
      <w:r>
        <w:rPr>
          <w:rFonts w:ascii="微软雅黑" w:eastAsia="微软雅黑" w:hAnsi="微软雅黑" w:hint="eastAsia"/>
          <w:bCs/>
          <w:sz w:val="21"/>
          <w:szCs w:val="21"/>
        </w:rPr>
        <w:t>，</w:t>
      </w:r>
      <w:r>
        <w:rPr>
          <w:rFonts w:ascii="微软雅黑" w:eastAsia="微软雅黑" w:hAnsi="微软雅黑" w:hint="eastAsia"/>
          <w:b/>
          <w:sz w:val="21"/>
          <w:szCs w:val="21"/>
        </w:rPr>
        <w:t>通过小米营销平台大数据定向及技术应用，聚焦目标受众群体，同时整合小米的矩阵资源及转化链路优化，实现品牌传播的同时进行有效转化，从而达到品牌曝光和</w:t>
      </w:r>
      <w:proofErr w:type="gramStart"/>
      <w:r>
        <w:rPr>
          <w:rFonts w:ascii="微软雅黑" w:eastAsia="微软雅黑" w:hAnsi="微软雅黑" w:hint="eastAsia"/>
          <w:b/>
          <w:sz w:val="21"/>
          <w:szCs w:val="21"/>
        </w:rPr>
        <w:t>客群</w:t>
      </w:r>
      <w:proofErr w:type="gramEnd"/>
      <w:r>
        <w:rPr>
          <w:rFonts w:ascii="微软雅黑" w:eastAsia="微软雅黑" w:hAnsi="微软雅黑" w:hint="eastAsia"/>
          <w:b/>
          <w:sz w:val="21"/>
          <w:szCs w:val="21"/>
        </w:rPr>
        <w:t>引流。</w:t>
      </w:r>
    </w:p>
    <w:p w14:paraId="6DD8BB7D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亮点：</w:t>
      </w:r>
      <w:r>
        <w:rPr>
          <w:rFonts w:ascii="微软雅黑" w:eastAsia="微软雅黑" w:hAnsi="微软雅黑"/>
          <w:b/>
          <w:color w:val="FF0000"/>
          <w:sz w:val="21"/>
          <w:szCs w:val="21"/>
        </w:rPr>
        <w:t xml:space="preserve"> </w:t>
      </w:r>
    </w:p>
    <w:p w14:paraId="2E9D8C6B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1</w:t>
      </w:r>
      <w:r>
        <w:rPr>
          <w:rFonts w:ascii="微软雅黑" w:eastAsia="微软雅黑" w:hAnsi="微软雅黑" w:hint="eastAsia"/>
          <w:b/>
          <w:szCs w:val="21"/>
        </w:rPr>
        <w:t>——在核心圈层用户下锁定垂直用户，找到符合活动主题的绝佳载体</w:t>
      </w:r>
    </w:p>
    <w:p w14:paraId="6D20AED3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Cs/>
          <w:szCs w:val="21"/>
        </w:rPr>
        <w:t>基于浦惠到家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与小米的深度合作下，针对当下疫情热点，结合小米运动打造极具正能量的运动主题活动。小米运动APP是米粉关注健康信息的重要APP，具有上亿的注册用户数，与本次“冬季运动‘惠’”主题活动高度吻合，是承载本次活动的绝佳载体；</w:t>
      </w:r>
    </w:p>
    <w:p w14:paraId="19DFB935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2</w:t>
      </w:r>
      <w:r>
        <w:rPr>
          <w:rFonts w:ascii="微软雅黑" w:eastAsia="微软雅黑" w:hAnsi="微软雅黑" w:hint="eastAsia"/>
          <w:b/>
          <w:szCs w:val="21"/>
        </w:rPr>
        <w:t>——多场景</w:t>
      </w:r>
      <w:proofErr w:type="gramStart"/>
      <w:r>
        <w:rPr>
          <w:rFonts w:ascii="微软雅黑" w:eastAsia="微软雅黑" w:hAnsi="微软雅黑" w:hint="eastAsia"/>
          <w:b/>
          <w:szCs w:val="21"/>
        </w:rPr>
        <w:t>触达目标</w:t>
      </w:r>
      <w:proofErr w:type="gramEnd"/>
      <w:r>
        <w:rPr>
          <w:rFonts w:ascii="微软雅黑" w:eastAsia="微软雅黑" w:hAnsi="微软雅黑" w:hint="eastAsia"/>
          <w:b/>
          <w:szCs w:val="21"/>
        </w:rPr>
        <w:t>用户</w:t>
      </w:r>
    </w:p>
    <w:p w14:paraId="36D0F71A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利用小米不同场景资源，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触达活动</w:t>
      </w:r>
      <w:proofErr w:type="gramEnd"/>
      <w:r>
        <w:rPr>
          <w:rFonts w:ascii="微软雅黑" w:eastAsia="微软雅黑" w:hAnsi="微软雅黑" w:hint="eastAsia"/>
          <w:bCs/>
          <w:szCs w:val="21"/>
        </w:rPr>
        <w:t>目标用户，为活动引流；</w:t>
      </w:r>
    </w:p>
    <w:p w14:paraId="09A479EA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3</w:t>
      </w:r>
      <w:r>
        <w:rPr>
          <w:rFonts w:ascii="微软雅黑" w:eastAsia="微软雅黑" w:hAnsi="微软雅黑" w:hint="eastAsia"/>
          <w:b/>
          <w:szCs w:val="21"/>
        </w:rPr>
        <w:t>——精准曝光目标用户抢关注</w:t>
      </w:r>
    </w:p>
    <w:p w14:paraId="05E5B4D8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Cs/>
          <w:szCs w:val="21"/>
        </w:rPr>
        <w:t>结合浦惠到家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APP用户在小米手机的应用行为、兴趣行为等数据，利用小米DMP平台look</w:t>
      </w:r>
      <w:r>
        <w:rPr>
          <w:rFonts w:ascii="微软雅黑" w:eastAsia="微软雅黑" w:hAnsi="微软雅黑"/>
          <w:bCs/>
          <w:szCs w:val="21"/>
        </w:rPr>
        <w:t>alike</w:t>
      </w:r>
      <w:r>
        <w:rPr>
          <w:rFonts w:ascii="微软雅黑" w:eastAsia="微软雅黑" w:hAnsi="微软雅黑" w:hint="eastAsia"/>
          <w:bCs/>
          <w:szCs w:val="21"/>
        </w:rPr>
        <w:t>功能拓展相关用户，捕捉潜在人群，告知用户活动信息，提高活动参与度；</w:t>
      </w:r>
    </w:p>
    <w:p w14:paraId="585763BC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——</w:t>
      </w:r>
      <w:proofErr w:type="gramStart"/>
      <w:r>
        <w:rPr>
          <w:rFonts w:ascii="微软雅黑" w:eastAsia="微软雅黑" w:hAnsi="微软雅黑" w:hint="eastAsia"/>
          <w:b/>
          <w:szCs w:val="21"/>
        </w:rPr>
        <w:t>品效合一</w:t>
      </w:r>
      <w:proofErr w:type="gramEnd"/>
      <w:r>
        <w:rPr>
          <w:rFonts w:ascii="微软雅黑" w:eastAsia="微软雅黑" w:hAnsi="微软雅黑" w:hint="eastAsia"/>
          <w:b/>
          <w:szCs w:val="21"/>
        </w:rPr>
        <w:t>，精准获客</w:t>
      </w:r>
    </w:p>
    <w:p w14:paraId="2B9A1603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运用小米营销平台大数据精准定向目标用户，通过小米运动APP的用户投放</w:t>
      </w:r>
      <w:proofErr w:type="spellStart"/>
      <w:r>
        <w:rPr>
          <w:rFonts w:ascii="微软雅黑" w:eastAsia="微软雅黑" w:hAnsi="微软雅黑" w:hint="eastAsia"/>
          <w:bCs/>
          <w:szCs w:val="21"/>
        </w:rPr>
        <w:t>dee</w:t>
      </w:r>
      <w:r>
        <w:rPr>
          <w:rFonts w:ascii="微软雅黑" w:eastAsia="微软雅黑" w:hAnsi="微软雅黑"/>
          <w:bCs/>
          <w:szCs w:val="21"/>
        </w:rPr>
        <w:t>plink</w:t>
      </w:r>
      <w:proofErr w:type="spellEnd"/>
      <w:r>
        <w:rPr>
          <w:rFonts w:ascii="微软雅黑" w:eastAsia="微软雅黑" w:hAnsi="微软雅黑" w:hint="eastAsia"/>
          <w:bCs/>
          <w:szCs w:val="21"/>
        </w:rPr>
        <w:t>，直接跳转APP站内的活动页，减少用户跳转步骤，降低用户流失率，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实现品效合一</w:t>
      </w:r>
      <w:proofErr w:type="gramEnd"/>
      <w:r>
        <w:rPr>
          <w:rFonts w:ascii="微软雅黑" w:eastAsia="微软雅黑" w:hAnsi="微软雅黑" w:hint="eastAsia"/>
          <w:bCs/>
          <w:szCs w:val="21"/>
        </w:rPr>
        <w:t>；</w:t>
      </w:r>
    </w:p>
    <w:p w14:paraId="514B4E73" w14:textId="77777777" w:rsidR="009F4D75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5</w:t>
      </w:r>
      <w:r>
        <w:rPr>
          <w:rFonts w:ascii="微软雅黑" w:eastAsia="微软雅黑" w:hAnsi="微软雅黑" w:hint="eastAsia"/>
          <w:b/>
          <w:szCs w:val="21"/>
        </w:rPr>
        <w:t>——实现用户增长，破解银行线</w:t>
      </w:r>
      <w:proofErr w:type="gramStart"/>
      <w:r>
        <w:rPr>
          <w:rFonts w:ascii="微软雅黑" w:eastAsia="微软雅黑" w:hAnsi="微软雅黑" w:hint="eastAsia"/>
          <w:b/>
          <w:szCs w:val="21"/>
        </w:rPr>
        <w:t>上获客困境</w:t>
      </w:r>
      <w:proofErr w:type="gramEnd"/>
    </w:p>
    <w:p w14:paraId="0CC3889B" w14:textId="19824556" w:rsidR="009F4D75" w:rsidRPr="001D357A" w:rsidRDefault="005A59C9" w:rsidP="00985C4E">
      <w:pPr>
        <w:pStyle w:val="af1"/>
        <w:numPr>
          <w:ilvl w:val="0"/>
          <w:numId w:val="14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以场景赋能，破解传统</w:t>
      </w:r>
      <w:proofErr w:type="gramStart"/>
      <w:r>
        <w:rPr>
          <w:rFonts w:ascii="微软雅黑" w:eastAsia="微软雅黑" w:hAnsi="微软雅黑" w:hint="eastAsia"/>
          <w:bCs/>
          <w:szCs w:val="21"/>
        </w:rPr>
        <w:t>银行拓客与</w:t>
      </w:r>
      <w:proofErr w:type="gramEnd"/>
      <w:r>
        <w:rPr>
          <w:rFonts w:ascii="微软雅黑" w:eastAsia="微软雅黑" w:hAnsi="微软雅黑" w:hint="eastAsia"/>
          <w:bCs/>
          <w:szCs w:val="21"/>
        </w:rPr>
        <w:t>留客的焦虑，实现金融机构数字化转型。</w:t>
      </w:r>
    </w:p>
    <w:p w14:paraId="445C5BC7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11A163F2" w14:textId="77777777" w:rsidR="009F4D75" w:rsidRDefault="005A59C9" w:rsidP="001D357A">
      <w:pPr>
        <w:pStyle w:val="af1"/>
        <w:numPr>
          <w:ilvl w:val="0"/>
          <w:numId w:val="5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通过小米丰富的大流量广告资源扩大用户覆盖面</w:t>
      </w:r>
      <w:r>
        <w:rPr>
          <w:rFonts w:ascii="微软雅黑" w:eastAsia="微软雅黑" w:hAnsi="微软雅黑"/>
          <w:szCs w:val="21"/>
        </w:rPr>
        <w:t>，提高</w:t>
      </w:r>
      <w:r>
        <w:rPr>
          <w:rFonts w:ascii="微软雅黑" w:eastAsia="微软雅黑" w:hAnsi="微软雅黑" w:hint="eastAsia"/>
          <w:szCs w:val="21"/>
        </w:rPr>
        <w:t>用户</w:t>
      </w:r>
      <w:r>
        <w:rPr>
          <w:rFonts w:ascii="微软雅黑" w:eastAsia="微软雅黑" w:hAnsi="微软雅黑"/>
          <w:szCs w:val="21"/>
        </w:rPr>
        <w:t>对品牌的认知度；</w:t>
      </w:r>
    </w:p>
    <w:p w14:paraId="778400BF" w14:textId="77777777" w:rsidR="009F4D75" w:rsidRDefault="005A59C9" w:rsidP="001D357A">
      <w:pPr>
        <w:pStyle w:val="af1"/>
        <w:numPr>
          <w:ilvl w:val="0"/>
          <w:numId w:val="5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借助小米营销平台精准</w:t>
      </w:r>
      <w:proofErr w:type="gramStart"/>
      <w:r>
        <w:rPr>
          <w:rFonts w:ascii="微软雅黑" w:eastAsia="微软雅黑" w:hAnsi="微软雅黑" w:hint="eastAsia"/>
          <w:szCs w:val="21"/>
        </w:rPr>
        <w:t>破圈吸引</w:t>
      </w:r>
      <w:proofErr w:type="gramEnd"/>
      <w:r>
        <w:rPr>
          <w:rFonts w:ascii="微软雅黑" w:eastAsia="微软雅黑" w:hAnsi="微软雅黑" w:hint="eastAsia"/>
          <w:szCs w:val="21"/>
        </w:rPr>
        <w:t>米粉参与活动，实现用户转化；</w:t>
      </w:r>
    </w:p>
    <w:p w14:paraId="1E1D8451" w14:textId="77777777" w:rsidR="009F4D75" w:rsidRDefault="005A59C9" w:rsidP="001D357A">
      <w:pPr>
        <w:pStyle w:val="af1"/>
        <w:numPr>
          <w:ilvl w:val="0"/>
          <w:numId w:val="5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利用</w:t>
      </w:r>
      <w:r>
        <w:rPr>
          <w:rFonts w:ascii="微软雅黑" w:eastAsia="微软雅黑" w:hAnsi="微软雅黑"/>
          <w:szCs w:val="21"/>
        </w:rPr>
        <w:t>多维度互动，提高目标消费者对品牌的</w:t>
      </w:r>
      <w:r>
        <w:rPr>
          <w:rFonts w:ascii="微软雅黑" w:eastAsia="微软雅黑" w:hAnsi="微软雅黑" w:hint="eastAsia"/>
          <w:szCs w:val="21"/>
        </w:rPr>
        <w:t>好感度，</w:t>
      </w:r>
      <w:r>
        <w:rPr>
          <w:rFonts w:ascii="微软雅黑" w:eastAsia="微软雅黑" w:hAnsi="微软雅黑"/>
          <w:szCs w:val="21"/>
        </w:rPr>
        <w:t>带动APP</w:t>
      </w:r>
      <w:r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/>
          <w:szCs w:val="21"/>
        </w:rPr>
        <w:t>用户量增长</w:t>
      </w:r>
      <w:r>
        <w:rPr>
          <w:rFonts w:ascii="微软雅黑" w:eastAsia="微软雅黑" w:hAnsi="微软雅黑" w:hint="eastAsia"/>
          <w:szCs w:val="21"/>
        </w:rPr>
        <w:t>，提高订单转化；</w:t>
      </w:r>
    </w:p>
    <w:p w14:paraId="6CA8B1C8" w14:textId="3D993728" w:rsidR="009F4D75" w:rsidRPr="001D357A" w:rsidRDefault="005A59C9" w:rsidP="001D357A">
      <w:pPr>
        <w:pStyle w:val="af1"/>
        <w:numPr>
          <w:ilvl w:val="0"/>
          <w:numId w:val="5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通过尝新，为传统银行线上</w:t>
      </w:r>
      <w:proofErr w:type="gramStart"/>
      <w:r>
        <w:rPr>
          <w:rFonts w:ascii="微软雅黑" w:eastAsia="微软雅黑" w:hAnsi="微软雅黑" w:hint="eastAsia"/>
          <w:szCs w:val="21"/>
        </w:rPr>
        <w:t>获客寻找</w:t>
      </w:r>
      <w:proofErr w:type="gramEnd"/>
      <w:r>
        <w:rPr>
          <w:rFonts w:ascii="微软雅黑" w:eastAsia="微软雅黑" w:hAnsi="微软雅黑" w:hint="eastAsia"/>
          <w:szCs w:val="21"/>
        </w:rPr>
        <w:t>突围之路。</w:t>
      </w:r>
    </w:p>
    <w:p w14:paraId="60309F1F" w14:textId="03FC8C98" w:rsidR="009F4D75" w:rsidRPr="001D357A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FF0000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执行过程/媒体表现</w:t>
      </w:r>
    </w:p>
    <w:p w14:paraId="44554134" w14:textId="77777777" w:rsidR="009F4D75" w:rsidRDefault="005A59C9" w:rsidP="001D357A">
      <w:pPr>
        <w:pStyle w:val="af1"/>
        <w:numPr>
          <w:ilvl w:val="0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常规投放：小米平台大数据分析，精准</w:t>
      </w:r>
      <w:proofErr w:type="gramStart"/>
      <w:r>
        <w:rPr>
          <w:rFonts w:ascii="微软雅黑" w:eastAsia="微软雅黑" w:hAnsi="微软雅黑" w:hint="eastAsia"/>
          <w:b/>
          <w:szCs w:val="21"/>
        </w:rPr>
        <w:t>触达目标</w:t>
      </w:r>
      <w:proofErr w:type="gramEnd"/>
      <w:r>
        <w:rPr>
          <w:rFonts w:ascii="微软雅黑" w:eastAsia="微软雅黑" w:hAnsi="微软雅黑" w:hint="eastAsia"/>
          <w:b/>
          <w:szCs w:val="21"/>
        </w:rPr>
        <w:t>用户，转化链路优化，降低用户流失率（2</w:t>
      </w:r>
      <w:r>
        <w:rPr>
          <w:rFonts w:ascii="微软雅黑" w:eastAsia="微软雅黑" w:hAnsi="微软雅黑"/>
          <w:b/>
          <w:szCs w:val="21"/>
        </w:rPr>
        <w:t>020.11.20-2020.11.26</w:t>
      </w:r>
      <w:r>
        <w:rPr>
          <w:rFonts w:ascii="微软雅黑" w:eastAsia="微软雅黑" w:hAnsi="微软雅黑" w:hint="eastAsia"/>
          <w:b/>
          <w:szCs w:val="21"/>
        </w:rPr>
        <w:t>）：</w:t>
      </w:r>
    </w:p>
    <w:p w14:paraId="15B332AC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根据小米平台的大</w:t>
      </w:r>
      <w:proofErr w:type="gramStart"/>
      <w:r>
        <w:rPr>
          <w:rFonts w:ascii="微软雅黑" w:eastAsia="微软雅黑" w:hAnsi="微软雅黑" w:hint="eastAsia"/>
          <w:bCs/>
          <w:szCs w:val="21"/>
        </w:rPr>
        <w:t>数据分析浦惠到家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APP的用户使用行为，发现小米浏览器的使用率较高，故在营销广告投放上以小米浏览器信息流大小图投放为主（9</w:t>
      </w:r>
      <w:r>
        <w:rPr>
          <w:rFonts w:ascii="微软雅黑" w:eastAsia="微软雅黑" w:hAnsi="微软雅黑"/>
          <w:bCs/>
          <w:szCs w:val="21"/>
        </w:rPr>
        <w:t>0%</w:t>
      </w:r>
      <w:r>
        <w:rPr>
          <w:rFonts w:ascii="微软雅黑" w:eastAsia="微软雅黑" w:hAnsi="微软雅黑" w:hint="eastAsia"/>
          <w:bCs/>
          <w:szCs w:val="21"/>
        </w:rPr>
        <w:t>），主题壁纸开屏等资源（1</w:t>
      </w:r>
      <w:r>
        <w:rPr>
          <w:rFonts w:ascii="微软雅黑" w:eastAsia="微软雅黑" w:hAnsi="微软雅黑"/>
          <w:bCs/>
          <w:szCs w:val="21"/>
        </w:rPr>
        <w:t>0%</w:t>
      </w:r>
      <w:r>
        <w:rPr>
          <w:rFonts w:ascii="微软雅黑" w:eastAsia="微软雅黑" w:hAnsi="微软雅黑" w:hint="eastAsia"/>
          <w:bCs/>
          <w:szCs w:val="21"/>
        </w:rPr>
        <w:t>）为辅助投放；</w:t>
      </w:r>
    </w:p>
    <w:p w14:paraId="16ABAE9A" w14:textId="77777777" w:rsidR="009F4D75" w:rsidRDefault="005A59C9" w:rsidP="001D357A">
      <w:pPr>
        <w:spacing w:before="100" w:beforeAutospacing="1" w:after="100" w:afterAutospacing="1"/>
        <w:ind w:left="420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8CE2CC0" wp14:editId="4897BE6E">
            <wp:extent cx="5720715" cy="2921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613AD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已</w:t>
      </w:r>
      <w:proofErr w:type="gramStart"/>
      <w:r>
        <w:rPr>
          <w:rFonts w:ascii="微软雅黑" w:eastAsia="微软雅黑" w:hAnsi="微软雅黑" w:hint="eastAsia"/>
          <w:bCs/>
          <w:szCs w:val="21"/>
        </w:rPr>
        <w:t>安装浦惠到家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</w:t>
      </w:r>
      <w:r>
        <w:rPr>
          <w:rFonts w:ascii="微软雅黑" w:eastAsia="微软雅黑" w:hAnsi="微软雅黑"/>
          <w:bCs/>
          <w:szCs w:val="21"/>
        </w:rPr>
        <w:t>PP</w:t>
      </w:r>
      <w:r>
        <w:rPr>
          <w:rFonts w:ascii="微软雅黑" w:eastAsia="微软雅黑" w:hAnsi="微软雅黑" w:hint="eastAsia"/>
          <w:bCs/>
          <w:szCs w:val="21"/>
        </w:rPr>
        <w:t>的用户具有电</w:t>
      </w:r>
      <w:proofErr w:type="gramStart"/>
      <w:r>
        <w:rPr>
          <w:rFonts w:ascii="微软雅黑" w:eastAsia="微软雅黑" w:hAnsi="微软雅黑" w:hint="eastAsia"/>
          <w:bCs/>
          <w:szCs w:val="21"/>
        </w:rPr>
        <w:t>商购物</w:t>
      </w:r>
      <w:proofErr w:type="gramEnd"/>
      <w:r>
        <w:rPr>
          <w:rFonts w:ascii="微软雅黑" w:eastAsia="微软雅黑" w:hAnsi="微软雅黑" w:hint="eastAsia"/>
          <w:bCs/>
          <w:szCs w:val="21"/>
        </w:rPr>
        <w:t>行为，利用小米DMP平台l</w:t>
      </w:r>
      <w:r>
        <w:rPr>
          <w:rFonts w:ascii="微软雅黑" w:eastAsia="微软雅黑" w:hAnsi="微软雅黑"/>
          <w:bCs/>
          <w:szCs w:val="21"/>
        </w:rPr>
        <w:t>ookalike</w:t>
      </w:r>
      <w:r>
        <w:rPr>
          <w:rFonts w:ascii="微软雅黑" w:eastAsia="微软雅黑" w:hAnsi="微软雅黑" w:hint="eastAsia"/>
          <w:bCs/>
          <w:szCs w:val="21"/>
        </w:rPr>
        <w:t>功能进行用户行为的相似匹配，扩充定向潜在人群，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传播浦惠到家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常规优惠活动，为APP做日常引流拉新；</w:t>
      </w:r>
    </w:p>
    <w:p w14:paraId="283DA380" w14:textId="77777777" w:rsidR="009F4D75" w:rsidRDefault="005A59C9" w:rsidP="001D357A">
      <w:pPr>
        <w:spacing w:before="100" w:beforeAutospacing="1" w:after="100" w:afterAutospacing="1"/>
        <w:ind w:left="420"/>
        <w:jc w:val="center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drawing>
          <wp:inline distT="0" distB="0" distL="0" distR="0" wp14:anchorId="00716565" wp14:editId="194B8898">
            <wp:extent cx="1897380" cy="3695700"/>
            <wp:effectExtent l="19050" t="19050" r="26670" b="1905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55" cy="37036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B61C32" w14:textId="77777777" w:rsidR="009F4D75" w:rsidRDefault="005A59C9" w:rsidP="00985C4E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为提高用户的使用感受及减少用户跳转步骤，针对已</w:t>
      </w:r>
      <w:proofErr w:type="gramStart"/>
      <w:r>
        <w:rPr>
          <w:rFonts w:ascii="微软雅黑" w:eastAsia="微软雅黑" w:hAnsi="微软雅黑" w:hint="eastAsia"/>
          <w:bCs/>
          <w:szCs w:val="21"/>
        </w:rPr>
        <w:t>安装浦惠到家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APP的用户投放</w:t>
      </w:r>
      <w:proofErr w:type="spellStart"/>
      <w:r>
        <w:rPr>
          <w:rFonts w:ascii="微软雅黑" w:eastAsia="微软雅黑" w:hAnsi="微软雅黑" w:hint="eastAsia"/>
          <w:bCs/>
          <w:szCs w:val="21"/>
        </w:rPr>
        <w:t>deep</w:t>
      </w:r>
      <w:r>
        <w:rPr>
          <w:rFonts w:ascii="微软雅黑" w:eastAsia="微软雅黑" w:hAnsi="微软雅黑"/>
          <w:bCs/>
          <w:szCs w:val="21"/>
        </w:rPr>
        <w:t>link</w:t>
      </w:r>
      <w:proofErr w:type="spellEnd"/>
      <w:r>
        <w:rPr>
          <w:rFonts w:ascii="微软雅黑" w:eastAsia="微软雅黑" w:hAnsi="微软雅黑" w:hint="eastAsia"/>
          <w:bCs/>
          <w:szCs w:val="21"/>
        </w:rPr>
        <w:t>，用户可通过广告页面直接跳转至APP站内的活动页面，从而降低用户的流失率（下图为链路展示图）；</w:t>
      </w:r>
    </w:p>
    <w:p w14:paraId="68649AEE" w14:textId="77777777" w:rsidR="009F4D75" w:rsidRDefault="005A59C9" w:rsidP="00985C4E">
      <w:pPr>
        <w:pStyle w:val="af1"/>
        <w:spacing w:before="100" w:beforeAutospacing="1" w:after="100" w:afterAutospacing="1"/>
        <w:ind w:left="840" w:firstLineChars="0" w:firstLine="0"/>
        <w:jc w:val="center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01C3EBD7" wp14:editId="543B540F">
            <wp:extent cx="5720715" cy="19323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8475" w14:textId="77777777" w:rsidR="009F4D75" w:rsidRDefault="009F4D75" w:rsidP="001D357A">
      <w:pPr>
        <w:pStyle w:val="af1"/>
        <w:spacing w:before="100" w:beforeAutospacing="1" w:after="100" w:afterAutospacing="1"/>
        <w:ind w:left="840"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</w:p>
    <w:p w14:paraId="541E8133" w14:textId="77777777" w:rsidR="009F4D75" w:rsidRDefault="005A59C9" w:rsidP="001D357A">
      <w:pPr>
        <w:pStyle w:val="af1"/>
        <w:numPr>
          <w:ilvl w:val="0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创意视觉呈现，吸引用户参与，提升用户转化（2</w:t>
      </w:r>
      <w:r>
        <w:rPr>
          <w:rFonts w:ascii="微软雅黑" w:eastAsia="微软雅黑" w:hAnsi="微软雅黑"/>
          <w:b/>
          <w:szCs w:val="21"/>
        </w:rPr>
        <w:t>020.11.27</w:t>
      </w:r>
      <w:r>
        <w:rPr>
          <w:rFonts w:ascii="微软雅黑" w:eastAsia="微软雅黑" w:hAnsi="微软雅黑" w:hint="eastAsia"/>
          <w:b/>
          <w:szCs w:val="21"/>
        </w:rPr>
        <w:t>）：</w:t>
      </w:r>
    </w:p>
    <w:p w14:paraId="314F75BE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活动预热期间，在小米运动APP内上线主题</w:t>
      </w:r>
      <w:r>
        <w:rPr>
          <w:rFonts w:ascii="微软雅黑" w:eastAsia="微软雅黑" w:hAnsi="微软雅黑"/>
          <w:bCs/>
          <w:szCs w:val="21"/>
        </w:rPr>
        <w:t>b</w:t>
      </w:r>
      <w:r>
        <w:rPr>
          <w:rFonts w:ascii="微软雅黑" w:eastAsia="微软雅黑" w:hAnsi="微软雅黑" w:hint="eastAsia"/>
          <w:bCs/>
          <w:szCs w:val="21"/>
        </w:rPr>
        <w:t>anner活动入口进行预热，吸引用户了解活动详情，引导用户自发传播分享；</w:t>
      </w:r>
    </w:p>
    <w:p w14:paraId="5064C94C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结合本次活动主题“冬季运动‘惠’”，在落地页的视觉呈现上加入相应的运动元素，彰显青春、健康、有活力的品牌调性，同时运用本次活动的优惠券、小米手表等利益点的呈现，吸引更多爱好运动、关注健康、热爱生活的用户群体参与活动。在落地页上，用户也能实时关注个人打卡步数情况及活动进度；</w:t>
      </w:r>
    </w:p>
    <w:p w14:paraId="458B4931" w14:textId="6ECD34D5" w:rsidR="009F4D75" w:rsidRDefault="00AB1334" w:rsidP="001D357A">
      <w:pPr>
        <w:pStyle w:val="af1"/>
        <w:spacing w:before="100" w:beforeAutospacing="1" w:after="100" w:afterAutospacing="1"/>
        <w:ind w:left="420" w:firstLineChars="0" w:firstLine="0"/>
        <w:jc w:val="center"/>
        <w:textAlignment w:val="baseline"/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inline distT="0" distB="0" distL="0" distR="0" wp14:anchorId="5170BECC" wp14:editId="6D5475D8">
            <wp:extent cx="3104762" cy="3342857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3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BBD0" w14:textId="77777777" w:rsidR="009F4D75" w:rsidRDefault="005A59C9" w:rsidP="001D357A">
      <w:pPr>
        <w:pStyle w:val="af1"/>
        <w:numPr>
          <w:ilvl w:val="0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多场景媒介渠道助力品牌曝光，趣味互动撬动用户参与（2</w:t>
      </w:r>
      <w:r>
        <w:rPr>
          <w:rFonts w:ascii="微软雅黑" w:eastAsia="微软雅黑" w:hAnsi="微软雅黑"/>
          <w:b/>
          <w:szCs w:val="21"/>
        </w:rPr>
        <w:t>020.11.28-2020.11.29</w:t>
      </w:r>
      <w:r>
        <w:rPr>
          <w:rFonts w:ascii="微软雅黑" w:eastAsia="微软雅黑" w:hAnsi="微软雅黑" w:hint="eastAsia"/>
          <w:b/>
          <w:szCs w:val="21"/>
        </w:rPr>
        <w:t>）：</w:t>
      </w:r>
    </w:p>
    <w:p w14:paraId="57C8DA53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活动期间，</w:t>
      </w:r>
      <w:r>
        <w:rPr>
          <w:rFonts w:ascii="微软雅黑" w:eastAsia="微软雅黑" w:hAnsi="微软雅黑"/>
          <w:bCs/>
          <w:szCs w:val="21"/>
        </w:rPr>
        <w:t>小米浏览器、主题壁纸等投放资源的素材</w:t>
      </w:r>
      <w:r>
        <w:rPr>
          <w:rFonts w:ascii="微软雅黑" w:eastAsia="微软雅黑" w:hAnsi="微软雅黑" w:hint="eastAsia"/>
          <w:bCs/>
          <w:szCs w:val="21"/>
        </w:rPr>
        <w:t>均</w:t>
      </w:r>
      <w:r>
        <w:rPr>
          <w:rFonts w:ascii="微软雅黑" w:eastAsia="微软雅黑" w:hAnsi="微软雅黑"/>
          <w:bCs/>
          <w:szCs w:val="21"/>
        </w:rPr>
        <w:t>切换为</w:t>
      </w:r>
      <w:r>
        <w:rPr>
          <w:rFonts w:ascii="微软雅黑" w:eastAsia="微软雅黑" w:hAnsi="微软雅黑" w:hint="eastAsia"/>
          <w:bCs/>
          <w:szCs w:val="21"/>
        </w:rPr>
        <w:t>本次主题活动的素材展示；</w:t>
      </w:r>
    </w:p>
    <w:p w14:paraId="4F6C9218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活动期间，用户可通过任意</w:t>
      </w:r>
      <w:proofErr w:type="gramStart"/>
      <w:r>
        <w:rPr>
          <w:rFonts w:ascii="微软雅黑" w:eastAsia="微软雅黑" w:hAnsi="微软雅黑" w:hint="eastAsia"/>
          <w:bCs/>
          <w:szCs w:val="21"/>
        </w:rPr>
        <w:t>资源位</w:t>
      </w:r>
      <w:proofErr w:type="gramEnd"/>
      <w:r>
        <w:rPr>
          <w:rFonts w:ascii="微软雅黑" w:eastAsia="微软雅黑" w:hAnsi="微软雅黑" w:hint="eastAsia"/>
          <w:bCs/>
          <w:szCs w:val="21"/>
        </w:rPr>
        <w:t>进入活动页面，参与“冬季运动‘惠’”主题活动，进行</w:t>
      </w:r>
      <w:r>
        <w:rPr>
          <w:rFonts w:ascii="微软雅黑" w:eastAsia="微软雅黑" w:hAnsi="微软雅黑"/>
          <w:bCs/>
          <w:szCs w:val="21"/>
        </w:rPr>
        <w:t>7天50000步打卡活动，在小米运动APP上完成50000步打卡的前1445名用户可免费获得小米手表；</w:t>
      </w:r>
    </w:p>
    <w:p w14:paraId="132D8ACC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总预算额外增加4</w:t>
      </w:r>
      <w:r>
        <w:rPr>
          <w:rFonts w:ascii="微软雅黑" w:eastAsia="微软雅黑" w:hAnsi="微软雅黑"/>
          <w:bCs/>
          <w:szCs w:val="21"/>
        </w:rPr>
        <w:t>0%</w:t>
      </w:r>
      <w:r>
        <w:rPr>
          <w:rFonts w:ascii="微软雅黑" w:eastAsia="微软雅黑" w:hAnsi="微软雅黑" w:hint="eastAsia"/>
          <w:bCs/>
          <w:szCs w:val="21"/>
        </w:rPr>
        <w:t>，除小米浏览器信息流、主题壁纸等常规投放资源外（7</w:t>
      </w:r>
      <w:r>
        <w:rPr>
          <w:rFonts w:ascii="微软雅黑" w:eastAsia="微软雅黑" w:hAnsi="微软雅黑"/>
          <w:bCs/>
          <w:szCs w:val="21"/>
        </w:rPr>
        <w:t>0%</w:t>
      </w:r>
      <w:r>
        <w:rPr>
          <w:rFonts w:ascii="微软雅黑" w:eastAsia="微软雅黑" w:hAnsi="微软雅黑" w:hint="eastAsia"/>
          <w:bCs/>
          <w:szCs w:val="21"/>
        </w:rPr>
        <w:t>），增加投放</w:t>
      </w:r>
      <w:proofErr w:type="gramStart"/>
      <w:r>
        <w:rPr>
          <w:rFonts w:ascii="微软雅黑" w:eastAsia="微软雅黑" w:hAnsi="微软雅黑" w:hint="eastAsia"/>
          <w:bCs/>
          <w:szCs w:val="21"/>
        </w:rPr>
        <w:t>日活量</w:t>
      </w:r>
      <w:proofErr w:type="gramEnd"/>
      <w:r>
        <w:rPr>
          <w:rFonts w:ascii="微软雅黑" w:eastAsia="微软雅黑" w:hAnsi="微软雅黑" w:hint="eastAsia"/>
          <w:bCs/>
          <w:szCs w:val="21"/>
        </w:rPr>
        <w:t>较高的小米视频</w:t>
      </w:r>
      <w:r>
        <w:rPr>
          <w:rFonts w:ascii="微软雅黑" w:eastAsia="微软雅黑" w:hAnsi="微软雅黑"/>
          <w:bCs/>
          <w:szCs w:val="21"/>
        </w:rPr>
        <w:t>banner</w:t>
      </w:r>
      <w:r>
        <w:rPr>
          <w:rFonts w:ascii="微软雅黑" w:eastAsia="微软雅黑" w:hAnsi="微软雅黑" w:hint="eastAsia"/>
          <w:bCs/>
          <w:szCs w:val="21"/>
        </w:rPr>
        <w:t>、米盟开屏等资源位（3</w:t>
      </w:r>
      <w:r>
        <w:rPr>
          <w:rFonts w:ascii="微软雅黑" w:eastAsia="微软雅黑" w:hAnsi="微软雅黑"/>
          <w:bCs/>
          <w:szCs w:val="21"/>
        </w:rPr>
        <w:t>0%</w:t>
      </w:r>
      <w:r>
        <w:rPr>
          <w:rFonts w:ascii="微软雅黑" w:eastAsia="微软雅黑" w:hAnsi="微软雅黑" w:hint="eastAsia"/>
          <w:bCs/>
          <w:szCs w:val="21"/>
        </w:rPr>
        <w:t>），覆盖用户各种使用场景，定向所有已安装小米运动APP的用户，投放</w:t>
      </w:r>
      <w:proofErr w:type="spellStart"/>
      <w:r>
        <w:rPr>
          <w:rFonts w:ascii="微软雅黑" w:eastAsia="微软雅黑" w:hAnsi="微软雅黑" w:hint="eastAsia"/>
          <w:bCs/>
          <w:szCs w:val="21"/>
        </w:rPr>
        <w:t>deep</w:t>
      </w:r>
      <w:r>
        <w:rPr>
          <w:rFonts w:ascii="微软雅黑" w:eastAsia="微软雅黑" w:hAnsi="微软雅黑"/>
          <w:bCs/>
          <w:szCs w:val="21"/>
        </w:rPr>
        <w:t>link</w:t>
      </w:r>
      <w:proofErr w:type="spellEnd"/>
      <w:r>
        <w:rPr>
          <w:rFonts w:ascii="微软雅黑" w:eastAsia="微软雅黑" w:hAnsi="微软雅黑" w:hint="eastAsia"/>
          <w:bCs/>
          <w:szCs w:val="21"/>
        </w:rPr>
        <w:t>，直达站内活动页，为活动引流；</w:t>
      </w:r>
    </w:p>
    <w:p w14:paraId="5532730C" w14:textId="30D2626A" w:rsidR="009F4D75" w:rsidRDefault="00AB1334" w:rsidP="001D357A">
      <w:pPr>
        <w:pStyle w:val="af1"/>
        <w:spacing w:before="100" w:beforeAutospacing="1" w:after="100" w:afterAutospacing="1"/>
        <w:ind w:left="420" w:firstLineChars="0" w:firstLine="0"/>
        <w:jc w:val="center"/>
        <w:textAlignment w:val="baseline"/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inline distT="0" distB="0" distL="0" distR="0" wp14:anchorId="12165B72" wp14:editId="7EBEDD35">
            <wp:extent cx="2952381" cy="315238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8361" w14:textId="77777777" w:rsidR="009F4D75" w:rsidRDefault="005A59C9" w:rsidP="001D357A">
      <w:pPr>
        <w:pStyle w:val="af1"/>
        <w:numPr>
          <w:ilvl w:val="0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利用极致优惠引爆用户参与热情（2</w:t>
      </w:r>
      <w:r>
        <w:rPr>
          <w:rFonts w:ascii="微软雅黑" w:eastAsia="微软雅黑" w:hAnsi="微软雅黑"/>
          <w:b/>
          <w:szCs w:val="21"/>
        </w:rPr>
        <w:t>020.12.30-2020.12.01</w:t>
      </w:r>
      <w:r>
        <w:rPr>
          <w:rFonts w:ascii="微软雅黑" w:eastAsia="微软雅黑" w:hAnsi="微软雅黑" w:hint="eastAsia"/>
          <w:b/>
          <w:szCs w:val="21"/>
        </w:rPr>
        <w:t>）：</w:t>
      </w:r>
    </w:p>
    <w:p w14:paraId="0FE0E8EC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对活动引爆期期间点击、参加活动的用户进行行为分析，了解到该部分用户具有运动、数码、生活健康的兴趣行为，故除了在定向投放小米运动APP全量用户外，利用小米DMP平台l</w:t>
      </w:r>
      <w:r>
        <w:rPr>
          <w:rFonts w:ascii="微软雅黑" w:eastAsia="微软雅黑" w:hAnsi="微软雅黑"/>
          <w:bCs/>
          <w:szCs w:val="21"/>
        </w:rPr>
        <w:t>ookalike</w:t>
      </w:r>
      <w:r>
        <w:rPr>
          <w:rFonts w:ascii="微软雅黑" w:eastAsia="微软雅黑" w:hAnsi="微软雅黑" w:hint="eastAsia"/>
          <w:bCs/>
          <w:szCs w:val="21"/>
        </w:rPr>
        <w:t>功能匹配相似用户，扩充活动目标人群；</w:t>
      </w:r>
    </w:p>
    <w:p w14:paraId="4254608E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在“步数打卡”的互动基础上，新增一元购活动，利用极致优惠吸引用户，提高活动参与率；</w:t>
      </w:r>
    </w:p>
    <w:p w14:paraId="3A08F19E" w14:textId="77777777" w:rsidR="009F4D75" w:rsidRDefault="005A59C9" w:rsidP="001D357A">
      <w:pPr>
        <w:pStyle w:val="af1"/>
        <w:spacing w:before="100" w:beforeAutospacing="1" w:after="100" w:afterAutospacing="1"/>
        <w:ind w:left="420" w:firstLineChars="0" w:firstLine="0"/>
        <w:jc w:val="center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3D8486C7" wp14:editId="011A0066">
            <wp:extent cx="1514475" cy="3281363"/>
            <wp:effectExtent l="19050" t="19050" r="9525" b="14605"/>
            <wp:docPr id="4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124" cy="34366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29FF90" w14:textId="77777777" w:rsidR="009F4D75" w:rsidRDefault="005A59C9" w:rsidP="001D357A">
      <w:pPr>
        <w:pStyle w:val="af1"/>
        <w:numPr>
          <w:ilvl w:val="0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互动体验反馈，引导用户参与（2</w:t>
      </w:r>
      <w:r>
        <w:rPr>
          <w:rFonts w:ascii="微软雅黑" w:eastAsia="微软雅黑" w:hAnsi="微软雅黑"/>
          <w:b/>
          <w:szCs w:val="21"/>
        </w:rPr>
        <w:t>020.12.02-2020.12.03</w:t>
      </w:r>
      <w:r>
        <w:rPr>
          <w:rFonts w:ascii="微软雅黑" w:eastAsia="微软雅黑" w:hAnsi="微软雅黑" w:hint="eastAsia"/>
          <w:b/>
          <w:szCs w:val="21"/>
        </w:rPr>
        <w:t>）：</w:t>
      </w:r>
    </w:p>
    <w:p w14:paraId="5A3DDD86" w14:textId="77777777" w:rsidR="009F4D75" w:rsidRDefault="005A59C9" w:rsidP="001D357A">
      <w:pPr>
        <w:pStyle w:val="af1"/>
        <w:numPr>
          <w:ilvl w:val="1"/>
          <w:numId w:val="6"/>
        </w:numPr>
        <w:spacing w:before="100" w:beforeAutospacing="1" w:after="100" w:afterAutospacing="1"/>
        <w:ind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在小米社区、小米运动发帖分享参与本次活动和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体验浦惠到家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APP的感受，进一步吸引用户参与活动并引导用户</w:t>
      </w:r>
      <w:proofErr w:type="gramStart"/>
      <w:r>
        <w:rPr>
          <w:rFonts w:ascii="微软雅黑" w:eastAsia="微软雅黑" w:hAnsi="微软雅黑" w:hint="eastAsia"/>
          <w:bCs/>
          <w:szCs w:val="21"/>
        </w:rPr>
        <w:t>使用浦惠到家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</w:t>
      </w:r>
      <w:r>
        <w:rPr>
          <w:rFonts w:ascii="微软雅黑" w:eastAsia="微软雅黑" w:hAnsi="微软雅黑"/>
          <w:bCs/>
          <w:szCs w:val="21"/>
        </w:rPr>
        <w:t>PP</w:t>
      </w:r>
      <w:r>
        <w:rPr>
          <w:rFonts w:ascii="微软雅黑" w:eastAsia="微软雅黑" w:hAnsi="微软雅黑" w:hint="eastAsia"/>
          <w:bCs/>
          <w:szCs w:val="21"/>
        </w:rPr>
        <w:t>。</w:t>
      </w:r>
    </w:p>
    <w:p w14:paraId="46CFD0D4" w14:textId="3E917586" w:rsidR="009F4D75" w:rsidRDefault="00AB1334" w:rsidP="00985C4E">
      <w:pPr>
        <w:pStyle w:val="af1"/>
        <w:spacing w:before="100" w:beforeAutospacing="1" w:after="100" w:afterAutospacing="1"/>
        <w:ind w:left="420" w:firstLineChars="0" w:firstLine="0"/>
        <w:jc w:val="center"/>
        <w:textAlignment w:val="baseline"/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inline distT="0" distB="0" distL="0" distR="0" wp14:anchorId="6D565DE8" wp14:editId="255D9162">
            <wp:extent cx="3066667" cy="3285714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3AA3" w14:textId="5DDA3EA2" w:rsidR="009F4D75" w:rsidRPr="001D357A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8"/>
        </w:rPr>
      </w:pPr>
      <w:r w:rsidRPr="001D357A">
        <w:rPr>
          <w:rFonts w:ascii="微软雅黑" w:eastAsia="微软雅黑" w:hAnsi="微软雅黑" w:hint="eastAsia"/>
          <w:b/>
          <w:color w:val="0000FF"/>
          <w:sz w:val="28"/>
          <w:szCs w:val="28"/>
        </w:rPr>
        <w:t>营销效果与市场反馈</w:t>
      </w:r>
    </w:p>
    <w:p w14:paraId="35A23696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本次营销活动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是浦惠到家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和小米运动深耕米粉及关注运动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健康客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群的一次有力实践，借助疫情健康热点话题，提出热爱生活、关注健康的传播概念，</w:t>
      </w:r>
      <w:r>
        <w:rPr>
          <w:rFonts w:ascii="微软雅黑" w:eastAsia="微软雅黑" w:hAnsi="微软雅黑" w:hint="eastAsia"/>
          <w:bCs/>
          <w:sz w:val="21"/>
          <w:szCs w:val="21"/>
        </w:rPr>
        <w:t>传达和深化“惠生活，更会生活”的品牌主张，</w:t>
      </w:r>
      <w:r>
        <w:rPr>
          <w:rFonts w:ascii="微软雅黑" w:eastAsia="微软雅黑" w:hAnsi="微软雅黑" w:hint="eastAsia"/>
          <w:sz w:val="21"/>
          <w:szCs w:val="21"/>
        </w:rPr>
        <w:t>呼吁全民运动，鼓励用户提倡健康生活，了解并使用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浦惠到家以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分享健康生活。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通过</w:t>
      </w:r>
      <w:r>
        <w:rPr>
          <w:rFonts w:ascii="微软雅黑" w:eastAsia="微软雅黑" w:hAnsi="微软雅黑"/>
          <w:b/>
          <w:bCs/>
          <w:sz w:val="21"/>
          <w:szCs w:val="21"/>
        </w:rPr>
        <w:t>多场景的媒介渠道助力品牌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曝光，提升销量，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实现品效合一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，破解传统银行线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上获客困境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。</w:t>
      </w:r>
    </w:p>
    <w:p w14:paraId="2B14FB40" w14:textId="77777777" w:rsidR="009F4D75" w:rsidRDefault="005A59C9" w:rsidP="00985C4E">
      <w:pPr>
        <w:pStyle w:val="af1"/>
        <w:numPr>
          <w:ilvl w:val="0"/>
          <w:numId w:val="15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本次项目提高了用户对品牌的关注度，覆盖了</w:t>
      </w:r>
      <w:r>
        <w:rPr>
          <w:rFonts w:ascii="微软雅黑" w:eastAsia="微软雅黑" w:hAnsi="微软雅黑"/>
          <w:szCs w:val="21"/>
        </w:rPr>
        <w:t>18-50岁</w:t>
      </w:r>
      <w:r>
        <w:rPr>
          <w:rFonts w:ascii="微软雅黑" w:eastAsia="微软雅黑" w:hAnsi="微软雅黑" w:hint="eastAsia"/>
          <w:szCs w:val="21"/>
        </w:rPr>
        <w:t>的米粉及</w:t>
      </w:r>
      <w:r>
        <w:rPr>
          <w:rFonts w:ascii="微软雅黑" w:eastAsia="微软雅黑" w:hAnsi="微软雅黑"/>
          <w:szCs w:val="21"/>
        </w:rPr>
        <w:t>具有电</w:t>
      </w:r>
      <w:proofErr w:type="gramStart"/>
      <w:r>
        <w:rPr>
          <w:rFonts w:ascii="微软雅黑" w:eastAsia="微软雅黑" w:hAnsi="微软雅黑"/>
          <w:szCs w:val="21"/>
        </w:rPr>
        <w:t>商购物行为</w:t>
      </w:r>
      <w:proofErr w:type="gramEnd"/>
      <w:r>
        <w:rPr>
          <w:rFonts w:ascii="微软雅黑" w:eastAsia="微软雅黑" w:hAnsi="微软雅黑"/>
          <w:szCs w:val="21"/>
        </w:rPr>
        <w:t>的用户</w:t>
      </w:r>
      <w:r>
        <w:rPr>
          <w:rFonts w:ascii="微软雅黑" w:eastAsia="微软雅黑" w:hAnsi="微软雅黑" w:hint="eastAsia"/>
          <w:szCs w:val="21"/>
        </w:rPr>
        <w:t>群体，在常规投放期间，获得2</w:t>
      </w:r>
      <w:r>
        <w:rPr>
          <w:rFonts w:ascii="微软雅黑" w:eastAsia="微软雅黑" w:hAnsi="微软雅黑"/>
          <w:szCs w:val="21"/>
        </w:rPr>
        <w:t>03</w:t>
      </w:r>
      <w:r>
        <w:rPr>
          <w:rFonts w:ascii="微软雅黑" w:eastAsia="微软雅黑" w:hAnsi="微软雅黑" w:hint="eastAsia"/>
          <w:szCs w:val="21"/>
        </w:rPr>
        <w:t>万的点击量及1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万的用户注册量；</w:t>
      </w:r>
    </w:p>
    <w:p w14:paraId="5EF78929" w14:textId="77777777" w:rsidR="009F4D75" w:rsidRDefault="005A59C9" w:rsidP="00985C4E">
      <w:pPr>
        <w:pStyle w:val="af1"/>
        <w:numPr>
          <w:ilvl w:val="0"/>
          <w:numId w:val="15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在互动活动爆发期间，获得5</w:t>
      </w:r>
      <w:r>
        <w:rPr>
          <w:rFonts w:ascii="微软雅黑" w:eastAsia="微软雅黑" w:hAnsi="微软雅黑"/>
          <w:szCs w:val="21"/>
        </w:rPr>
        <w:t>09</w:t>
      </w:r>
      <w:r>
        <w:rPr>
          <w:rFonts w:ascii="微软雅黑" w:eastAsia="微软雅黑" w:hAnsi="微软雅黑" w:hint="eastAsia"/>
          <w:szCs w:val="21"/>
        </w:rPr>
        <w:t>万的点击量及2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万的注册量，相比</w:t>
      </w:r>
      <w:r>
        <w:rPr>
          <w:rFonts w:ascii="微软雅黑" w:eastAsia="微软雅黑" w:hAnsi="微软雅黑"/>
          <w:szCs w:val="21"/>
        </w:rPr>
        <w:t>常规投放时期订单转化率提升15%</w:t>
      </w:r>
      <w:r>
        <w:rPr>
          <w:rFonts w:ascii="微软雅黑" w:eastAsia="微软雅黑" w:hAnsi="微软雅黑" w:hint="eastAsia"/>
          <w:szCs w:val="21"/>
        </w:rPr>
        <w:t>；</w:t>
      </w:r>
    </w:p>
    <w:p w14:paraId="5955CB9A" w14:textId="77777777" w:rsidR="009F4D75" w:rsidRDefault="005A59C9" w:rsidP="00985C4E">
      <w:pPr>
        <w:pStyle w:val="af1"/>
        <w:numPr>
          <w:ilvl w:val="0"/>
          <w:numId w:val="15"/>
        </w:numPr>
        <w:spacing w:before="100" w:beforeAutospacing="1" w:after="100" w:afterAutospacing="1"/>
        <w:ind w:firstLineChars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本次项目通过“步数打卡”的互动形式成功调动用户的参与度，在受众积极的参与下，本次活动所准备的1</w:t>
      </w:r>
      <w:r>
        <w:rPr>
          <w:rFonts w:ascii="微软雅黑" w:eastAsia="微软雅黑" w:hAnsi="微软雅黑"/>
          <w:szCs w:val="21"/>
        </w:rPr>
        <w:t>445</w:t>
      </w:r>
      <w:r>
        <w:rPr>
          <w:rFonts w:ascii="微软雅黑" w:eastAsia="微软雅黑" w:hAnsi="微软雅黑" w:hint="eastAsia"/>
          <w:szCs w:val="21"/>
        </w:rPr>
        <w:t>个小米手表在活动前三天就全部赠送完毕；</w:t>
      </w:r>
    </w:p>
    <w:p w14:paraId="4B70A764" w14:textId="77777777" w:rsidR="009F4D75" w:rsidRDefault="005A59C9" w:rsidP="001D357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项目对目标消费者的精准触达，助力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了浦惠到家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的销量增长。客户对于本次与小米运动的合作成果表示非常满意，并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将于2</w:t>
      </w:r>
      <w:r>
        <w:rPr>
          <w:rFonts w:ascii="微软雅黑" w:eastAsia="微软雅黑" w:hAnsi="微软雅黑"/>
          <w:b/>
          <w:bCs/>
          <w:sz w:val="21"/>
          <w:szCs w:val="21"/>
        </w:rPr>
        <w:t>021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年扩大4</w:t>
      </w:r>
      <w:r>
        <w:rPr>
          <w:rFonts w:ascii="微软雅黑" w:eastAsia="微软雅黑" w:hAnsi="微软雅黑"/>
          <w:b/>
          <w:bCs/>
          <w:sz w:val="21"/>
          <w:szCs w:val="21"/>
        </w:rPr>
        <w:t>5%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的投入预算</w:t>
      </w:r>
      <w:r>
        <w:rPr>
          <w:rFonts w:ascii="微软雅黑" w:eastAsia="微软雅黑" w:hAnsi="微软雅黑" w:hint="eastAsia"/>
          <w:sz w:val="21"/>
          <w:szCs w:val="21"/>
        </w:rPr>
        <w:t>。通过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本次浦惠到家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与小米运动的成功合作，为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传统银行寻找到了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破解线上获客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的突围之路</w:t>
      </w:r>
      <w:r>
        <w:rPr>
          <w:rFonts w:ascii="微软雅黑" w:eastAsia="微软雅黑" w:hAnsi="微软雅黑" w:hint="eastAsia"/>
          <w:sz w:val="21"/>
          <w:szCs w:val="21"/>
        </w:rPr>
        <w:t>。为此，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将本次案例固化为传统客户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的经典营销手法，形成一套专为传统银行客户</w:t>
      </w:r>
      <w:proofErr w:type="gramStart"/>
      <w:r>
        <w:rPr>
          <w:rFonts w:ascii="微软雅黑" w:eastAsia="微软雅黑" w:hAnsi="微软雅黑" w:hint="eastAsia"/>
          <w:b/>
          <w:bCs/>
          <w:sz w:val="21"/>
          <w:szCs w:val="21"/>
        </w:rPr>
        <w:t>解决线上获客</w:t>
      </w:r>
      <w:proofErr w:type="gramEnd"/>
      <w:r>
        <w:rPr>
          <w:rFonts w:ascii="微软雅黑" w:eastAsia="微软雅黑" w:hAnsi="微软雅黑" w:hint="eastAsia"/>
          <w:b/>
          <w:bCs/>
          <w:sz w:val="21"/>
          <w:szCs w:val="21"/>
        </w:rPr>
        <w:t>困境的营销打法。</w:t>
      </w:r>
    </w:p>
    <w:p w14:paraId="106AB5D3" w14:textId="77777777" w:rsidR="009F4D75" w:rsidRDefault="009F4D75">
      <w:pPr>
        <w:textAlignment w:val="baseline"/>
        <w:rPr>
          <w:rFonts w:ascii="微软雅黑" w:eastAsia="微软雅黑" w:hAnsi="微软雅黑"/>
          <w:szCs w:val="21"/>
        </w:rPr>
      </w:pPr>
    </w:p>
    <w:sectPr w:rsidR="009F4D75">
      <w:headerReference w:type="default" r:id="rId16"/>
      <w:footerReference w:type="even" r:id="rId17"/>
      <w:footerReference w:type="default" r:id="rId18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7C311" w14:textId="77777777" w:rsidR="000A01E1" w:rsidRDefault="000A01E1">
      <w:r>
        <w:separator/>
      </w:r>
    </w:p>
  </w:endnote>
  <w:endnote w:type="continuationSeparator" w:id="0">
    <w:p w14:paraId="42B1A9F7" w14:textId="77777777" w:rsidR="000A01E1" w:rsidRDefault="000A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F993" w14:textId="77777777" w:rsidR="009F4D75" w:rsidRDefault="005A59C9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3BB24FA6" w14:textId="77777777" w:rsidR="009F4D75" w:rsidRDefault="009F4D7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A32E" w14:textId="77777777" w:rsidR="009F4D75" w:rsidRDefault="009F4D75">
    <w:pPr>
      <w:pStyle w:val="a7"/>
      <w:framePr w:wrap="around" w:vAnchor="text" w:hAnchor="margin" w:xAlign="right" w:y="1"/>
      <w:rPr>
        <w:rStyle w:val="ae"/>
      </w:rPr>
    </w:pPr>
  </w:p>
  <w:p w14:paraId="2EE7C8F8" w14:textId="77777777" w:rsidR="009F4D75" w:rsidRDefault="009F4D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35FA4" w14:textId="77777777" w:rsidR="000A01E1" w:rsidRDefault="000A01E1">
      <w:r>
        <w:separator/>
      </w:r>
    </w:p>
  </w:footnote>
  <w:footnote w:type="continuationSeparator" w:id="0">
    <w:p w14:paraId="00E108A7" w14:textId="77777777" w:rsidR="000A01E1" w:rsidRDefault="000A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6A8C" w14:textId="77777777" w:rsidR="009F4D75" w:rsidRDefault="005A59C9">
    <w:pPr>
      <w:pStyle w:val="a8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4D63C6B5" wp14:editId="07CAF143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E27"/>
    <w:multiLevelType w:val="multilevel"/>
    <w:tmpl w:val="02674E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B40"/>
    <w:multiLevelType w:val="multilevel"/>
    <w:tmpl w:val="625008B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845" w:hanging="420"/>
      </w:pPr>
      <w:rPr>
        <w:b/>
        <w:bCs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9139F0"/>
    <w:multiLevelType w:val="hybridMultilevel"/>
    <w:tmpl w:val="E70AF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2611C"/>
    <w:multiLevelType w:val="multilevel"/>
    <w:tmpl w:val="3772611C"/>
    <w:lvl w:ilvl="0">
      <w:start w:val="3"/>
      <w:numFmt w:val="lowerLetter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F71BE0"/>
    <w:multiLevelType w:val="multilevel"/>
    <w:tmpl w:val="3CF71B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9A6AB9"/>
    <w:multiLevelType w:val="multilevel"/>
    <w:tmpl w:val="3E9A6AB9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EC37CD0"/>
    <w:multiLevelType w:val="hybridMultilevel"/>
    <w:tmpl w:val="31CA9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C436B7"/>
    <w:multiLevelType w:val="multilevel"/>
    <w:tmpl w:val="A7D080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0640D0"/>
    <w:multiLevelType w:val="multilevel"/>
    <w:tmpl w:val="6BAC058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1E51F0"/>
    <w:multiLevelType w:val="hybridMultilevel"/>
    <w:tmpl w:val="602A9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75B6A"/>
    <w:multiLevelType w:val="multilevel"/>
    <w:tmpl w:val="5B575B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0A7BFD"/>
    <w:multiLevelType w:val="multilevel"/>
    <w:tmpl w:val="5E0A7B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70369B"/>
    <w:multiLevelType w:val="multilevel"/>
    <w:tmpl w:val="6970369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FC552A"/>
    <w:multiLevelType w:val="multilevel"/>
    <w:tmpl w:val="04743AC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CE"/>
    <w:rsid w:val="00012B86"/>
    <w:rsid w:val="00020E7A"/>
    <w:rsid w:val="00024497"/>
    <w:rsid w:val="00024F57"/>
    <w:rsid w:val="0003635B"/>
    <w:rsid w:val="00041DD2"/>
    <w:rsid w:val="00046CF7"/>
    <w:rsid w:val="000510DC"/>
    <w:rsid w:val="000532E1"/>
    <w:rsid w:val="00056E4C"/>
    <w:rsid w:val="0006079A"/>
    <w:rsid w:val="000631F9"/>
    <w:rsid w:val="00071CE5"/>
    <w:rsid w:val="000724F0"/>
    <w:rsid w:val="0007509B"/>
    <w:rsid w:val="0007662C"/>
    <w:rsid w:val="00077EC5"/>
    <w:rsid w:val="0008546B"/>
    <w:rsid w:val="000879AF"/>
    <w:rsid w:val="000915E6"/>
    <w:rsid w:val="000927E4"/>
    <w:rsid w:val="000946A8"/>
    <w:rsid w:val="00097129"/>
    <w:rsid w:val="000979A5"/>
    <w:rsid w:val="000A01E1"/>
    <w:rsid w:val="000A3EB7"/>
    <w:rsid w:val="000B2399"/>
    <w:rsid w:val="000B6F3D"/>
    <w:rsid w:val="000D05FE"/>
    <w:rsid w:val="000D6DC9"/>
    <w:rsid w:val="000D7B47"/>
    <w:rsid w:val="000E10C0"/>
    <w:rsid w:val="000E18A5"/>
    <w:rsid w:val="000E2A45"/>
    <w:rsid w:val="000E5B07"/>
    <w:rsid w:val="000F07ED"/>
    <w:rsid w:val="000F4F10"/>
    <w:rsid w:val="000F5168"/>
    <w:rsid w:val="000F63B2"/>
    <w:rsid w:val="000F7F01"/>
    <w:rsid w:val="00106EA3"/>
    <w:rsid w:val="0010732C"/>
    <w:rsid w:val="00110E89"/>
    <w:rsid w:val="001135A6"/>
    <w:rsid w:val="00114DD5"/>
    <w:rsid w:val="001152F3"/>
    <w:rsid w:val="00115F6E"/>
    <w:rsid w:val="00125EFB"/>
    <w:rsid w:val="001265C9"/>
    <w:rsid w:val="00131A61"/>
    <w:rsid w:val="001342F5"/>
    <w:rsid w:val="00136B4D"/>
    <w:rsid w:val="001418FA"/>
    <w:rsid w:val="00142184"/>
    <w:rsid w:val="001458CE"/>
    <w:rsid w:val="00146A94"/>
    <w:rsid w:val="00153C29"/>
    <w:rsid w:val="001540DA"/>
    <w:rsid w:val="001544C9"/>
    <w:rsid w:val="00157921"/>
    <w:rsid w:val="001719F6"/>
    <w:rsid w:val="00171A8F"/>
    <w:rsid w:val="00172A27"/>
    <w:rsid w:val="001731D8"/>
    <w:rsid w:val="00173E91"/>
    <w:rsid w:val="001760CE"/>
    <w:rsid w:val="00176817"/>
    <w:rsid w:val="00181C7B"/>
    <w:rsid w:val="00184006"/>
    <w:rsid w:val="00191495"/>
    <w:rsid w:val="00192A5B"/>
    <w:rsid w:val="00194762"/>
    <w:rsid w:val="00195220"/>
    <w:rsid w:val="001954B4"/>
    <w:rsid w:val="0019737F"/>
    <w:rsid w:val="001A500D"/>
    <w:rsid w:val="001C4334"/>
    <w:rsid w:val="001C5D57"/>
    <w:rsid w:val="001D11F3"/>
    <w:rsid w:val="001D2E2D"/>
    <w:rsid w:val="001D357A"/>
    <w:rsid w:val="001E12DA"/>
    <w:rsid w:val="001E38F1"/>
    <w:rsid w:val="001E607A"/>
    <w:rsid w:val="001E6133"/>
    <w:rsid w:val="001F17F1"/>
    <w:rsid w:val="001F36FC"/>
    <w:rsid w:val="001F4270"/>
    <w:rsid w:val="001F5CCA"/>
    <w:rsid w:val="002060BC"/>
    <w:rsid w:val="0020719F"/>
    <w:rsid w:val="002208F6"/>
    <w:rsid w:val="0022117C"/>
    <w:rsid w:val="002248C0"/>
    <w:rsid w:val="0023469A"/>
    <w:rsid w:val="00235A3C"/>
    <w:rsid w:val="002371D9"/>
    <w:rsid w:val="0023746F"/>
    <w:rsid w:val="00237795"/>
    <w:rsid w:val="002377DD"/>
    <w:rsid w:val="002405B6"/>
    <w:rsid w:val="00240798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8652E"/>
    <w:rsid w:val="00290500"/>
    <w:rsid w:val="002A004E"/>
    <w:rsid w:val="002A44B4"/>
    <w:rsid w:val="002B0CDA"/>
    <w:rsid w:val="002B1393"/>
    <w:rsid w:val="002B1FC2"/>
    <w:rsid w:val="002D5CCA"/>
    <w:rsid w:val="002E230C"/>
    <w:rsid w:val="002E7E41"/>
    <w:rsid w:val="002F2AF3"/>
    <w:rsid w:val="002F3A4B"/>
    <w:rsid w:val="002F43E4"/>
    <w:rsid w:val="002F7E7A"/>
    <w:rsid w:val="00301777"/>
    <w:rsid w:val="003056B8"/>
    <w:rsid w:val="00311DCD"/>
    <w:rsid w:val="00317BD4"/>
    <w:rsid w:val="00320B24"/>
    <w:rsid w:val="003219F7"/>
    <w:rsid w:val="00322FE6"/>
    <w:rsid w:val="00334623"/>
    <w:rsid w:val="00334CB2"/>
    <w:rsid w:val="00342A89"/>
    <w:rsid w:val="00346792"/>
    <w:rsid w:val="0035333C"/>
    <w:rsid w:val="003548BE"/>
    <w:rsid w:val="003570AE"/>
    <w:rsid w:val="00357A55"/>
    <w:rsid w:val="00361FEC"/>
    <w:rsid w:val="00362043"/>
    <w:rsid w:val="00365FAB"/>
    <w:rsid w:val="00371D9E"/>
    <w:rsid w:val="00371F8B"/>
    <w:rsid w:val="003733FA"/>
    <w:rsid w:val="00381584"/>
    <w:rsid w:val="00381EF4"/>
    <w:rsid w:val="00386E93"/>
    <w:rsid w:val="00387438"/>
    <w:rsid w:val="0038758A"/>
    <w:rsid w:val="00390211"/>
    <w:rsid w:val="003A2FD7"/>
    <w:rsid w:val="003A3097"/>
    <w:rsid w:val="003A3802"/>
    <w:rsid w:val="003B69CD"/>
    <w:rsid w:val="003B7438"/>
    <w:rsid w:val="003C78A2"/>
    <w:rsid w:val="003D263A"/>
    <w:rsid w:val="003E27BD"/>
    <w:rsid w:val="003E2E89"/>
    <w:rsid w:val="003E35A1"/>
    <w:rsid w:val="003E42EA"/>
    <w:rsid w:val="003E5177"/>
    <w:rsid w:val="003F1321"/>
    <w:rsid w:val="003F1D64"/>
    <w:rsid w:val="003F3BB6"/>
    <w:rsid w:val="003F3F93"/>
    <w:rsid w:val="003F410F"/>
    <w:rsid w:val="003F4BD3"/>
    <w:rsid w:val="004007A8"/>
    <w:rsid w:val="00404490"/>
    <w:rsid w:val="00406E21"/>
    <w:rsid w:val="004072A2"/>
    <w:rsid w:val="00407F5C"/>
    <w:rsid w:val="00407FAE"/>
    <w:rsid w:val="004109EA"/>
    <w:rsid w:val="004118EA"/>
    <w:rsid w:val="00422C6F"/>
    <w:rsid w:val="00423117"/>
    <w:rsid w:val="00426569"/>
    <w:rsid w:val="00426D8C"/>
    <w:rsid w:val="00435BA4"/>
    <w:rsid w:val="00443C7A"/>
    <w:rsid w:val="004452BA"/>
    <w:rsid w:val="00451221"/>
    <w:rsid w:val="00453929"/>
    <w:rsid w:val="00453AD6"/>
    <w:rsid w:val="004555F7"/>
    <w:rsid w:val="00457C7D"/>
    <w:rsid w:val="00461D5A"/>
    <w:rsid w:val="00462CFD"/>
    <w:rsid w:val="00464EA7"/>
    <w:rsid w:val="004651A5"/>
    <w:rsid w:val="004679A4"/>
    <w:rsid w:val="00475755"/>
    <w:rsid w:val="004767D7"/>
    <w:rsid w:val="0048060F"/>
    <w:rsid w:val="0048122B"/>
    <w:rsid w:val="00484916"/>
    <w:rsid w:val="00485E13"/>
    <w:rsid w:val="004861A7"/>
    <w:rsid w:val="0048758B"/>
    <w:rsid w:val="00491A67"/>
    <w:rsid w:val="0049259E"/>
    <w:rsid w:val="00492C50"/>
    <w:rsid w:val="004A4904"/>
    <w:rsid w:val="004A7503"/>
    <w:rsid w:val="004B022D"/>
    <w:rsid w:val="004C4353"/>
    <w:rsid w:val="004C539E"/>
    <w:rsid w:val="004C7AD8"/>
    <w:rsid w:val="004D3EF9"/>
    <w:rsid w:val="004D53A9"/>
    <w:rsid w:val="004E2C2F"/>
    <w:rsid w:val="004E459E"/>
    <w:rsid w:val="004E704D"/>
    <w:rsid w:val="004F1399"/>
    <w:rsid w:val="004F7523"/>
    <w:rsid w:val="005002D8"/>
    <w:rsid w:val="00506B17"/>
    <w:rsid w:val="00507EB8"/>
    <w:rsid w:val="005103EC"/>
    <w:rsid w:val="0052080E"/>
    <w:rsid w:val="005344CB"/>
    <w:rsid w:val="00534DB5"/>
    <w:rsid w:val="00535A1F"/>
    <w:rsid w:val="005479C8"/>
    <w:rsid w:val="00547E1C"/>
    <w:rsid w:val="005504E6"/>
    <w:rsid w:val="00550A0A"/>
    <w:rsid w:val="005538B3"/>
    <w:rsid w:val="0055479D"/>
    <w:rsid w:val="00562094"/>
    <w:rsid w:val="005642A1"/>
    <w:rsid w:val="00566425"/>
    <w:rsid w:val="00567477"/>
    <w:rsid w:val="0057190F"/>
    <w:rsid w:val="0057565D"/>
    <w:rsid w:val="005764AD"/>
    <w:rsid w:val="00577D4C"/>
    <w:rsid w:val="0058033D"/>
    <w:rsid w:val="00582F7D"/>
    <w:rsid w:val="00587213"/>
    <w:rsid w:val="00591E9D"/>
    <w:rsid w:val="005A539D"/>
    <w:rsid w:val="005A56AE"/>
    <w:rsid w:val="005A59C9"/>
    <w:rsid w:val="005A697D"/>
    <w:rsid w:val="005B2564"/>
    <w:rsid w:val="005B6389"/>
    <w:rsid w:val="005C011B"/>
    <w:rsid w:val="005C16B2"/>
    <w:rsid w:val="005D5D19"/>
    <w:rsid w:val="005D614B"/>
    <w:rsid w:val="005D72E7"/>
    <w:rsid w:val="005D77D7"/>
    <w:rsid w:val="005E3D19"/>
    <w:rsid w:val="005E4E84"/>
    <w:rsid w:val="005E6454"/>
    <w:rsid w:val="005F7153"/>
    <w:rsid w:val="00607256"/>
    <w:rsid w:val="006126FE"/>
    <w:rsid w:val="00613CE9"/>
    <w:rsid w:val="0061631F"/>
    <w:rsid w:val="006215D4"/>
    <w:rsid w:val="00627595"/>
    <w:rsid w:val="00630C1C"/>
    <w:rsid w:val="00642F29"/>
    <w:rsid w:val="00644994"/>
    <w:rsid w:val="00650F34"/>
    <w:rsid w:val="00653470"/>
    <w:rsid w:val="00653916"/>
    <w:rsid w:val="0065606B"/>
    <w:rsid w:val="0065759C"/>
    <w:rsid w:val="00661A8D"/>
    <w:rsid w:val="00662251"/>
    <w:rsid w:val="006707FE"/>
    <w:rsid w:val="0067611E"/>
    <w:rsid w:val="00676C8D"/>
    <w:rsid w:val="006818B2"/>
    <w:rsid w:val="006853C8"/>
    <w:rsid w:val="00693C3F"/>
    <w:rsid w:val="006955F5"/>
    <w:rsid w:val="00696713"/>
    <w:rsid w:val="0069693E"/>
    <w:rsid w:val="006A0489"/>
    <w:rsid w:val="006A24F1"/>
    <w:rsid w:val="006A7251"/>
    <w:rsid w:val="006B5BB6"/>
    <w:rsid w:val="006B5DCF"/>
    <w:rsid w:val="006C16A7"/>
    <w:rsid w:val="006C1733"/>
    <w:rsid w:val="006C7094"/>
    <w:rsid w:val="006D06A2"/>
    <w:rsid w:val="006D2064"/>
    <w:rsid w:val="006D3DE1"/>
    <w:rsid w:val="006D4934"/>
    <w:rsid w:val="006D5766"/>
    <w:rsid w:val="006D74EC"/>
    <w:rsid w:val="006F421E"/>
    <w:rsid w:val="006F662D"/>
    <w:rsid w:val="00703568"/>
    <w:rsid w:val="00703D57"/>
    <w:rsid w:val="007040B0"/>
    <w:rsid w:val="00710B89"/>
    <w:rsid w:val="007146AA"/>
    <w:rsid w:val="00715AD3"/>
    <w:rsid w:val="0071643E"/>
    <w:rsid w:val="00716B53"/>
    <w:rsid w:val="0072102A"/>
    <w:rsid w:val="0072725D"/>
    <w:rsid w:val="0073004D"/>
    <w:rsid w:val="0073428A"/>
    <w:rsid w:val="007365E4"/>
    <w:rsid w:val="00736823"/>
    <w:rsid w:val="007435F4"/>
    <w:rsid w:val="00753753"/>
    <w:rsid w:val="007538EE"/>
    <w:rsid w:val="0075746F"/>
    <w:rsid w:val="00764220"/>
    <w:rsid w:val="00784E30"/>
    <w:rsid w:val="0079238C"/>
    <w:rsid w:val="00793F18"/>
    <w:rsid w:val="00795109"/>
    <w:rsid w:val="007969A0"/>
    <w:rsid w:val="007A0451"/>
    <w:rsid w:val="007A27DC"/>
    <w:rsid w:val="007A2F95"/>
    <w:rsid w:val="007A65D2"/>
    <w:rsid w:val="007B2D27"/>
    <w:rsid w:val="007C0828"/>
    <w:rsid w:val="007C3F70"/>
    <w:rsid w:val="007C4709"/>
    <w:rsid w:val="007C4C7A"/>
    <w:rsid w:val="007D4BD1"/>
    <w:rsid w:val="007D5451"/>
    <w:rsid w:val="007D76B6"/>
    <w:rsid w:val="007E2B9D"/>
    <w:rsid w:val="007E79D0"/>
    <w:rsid w:val="007F61AD"/>
    <w:rsid w:val="007F6422"/>
    <w:rsid w:val="007F65E0"/>
    <w:rsid w:val="0080130A"/>
    <w:rsid w:val="0080439E"/>
    <w:rsid w:val="00812085"/>
    <w:rsid w:val="00812A8A"/>
    <w:rsid w:val="00813515"/>
    <w:rsid w:val="008159A4"/>
    <w:rsid w:val="00816203"/>
    <w:rsid w:val="00820BFE"/>
    <w:rsid w:val="00820C09"/>
    <w:rsid w:val="00823822"/>
    <w:rsid w:val="00824AF1"/>
    <w:rsid w:val="00825032"/>
    <w:rsid w:val="00832432"/>
    <w:rsid w:val="008326D5"/>
    <w:rsid w:val="00833986"/>
    <w:rsid w:val="00837FA1"/>
    <w:rsid w:val="0084437D"/>
    <w:rsid w:val="00845146"/>
    <w:rsid w:val="0085738D"/>
    <w:rsid w:val="008612D4"/>
    <w:rsid w:val="0086503F"/>
    <w:rsid w:val="008674D7"/>
    <w:rsid w:val="00880022"/>
    <w:rsid w:val="00882EFD"/>
    <w:rsid w:val="00882F07"/>
    <w:rsid w:val="00883B9B"/>
    <w:rsid w:val="008875A4"/>
    <w:rsid w:val="00890908"/>
    <w:rsid w:val="00893657"/>
    <w:rsid w:val="008B2200"/>
    <w:rsid w:val="008B689B"/>
    <w:rsid w:val="008C2693"/>
    <w:rsid w:val="008C6E35"/>
    <w:rsid w:val="008C7F6F"/>
    <w:rsid w:val="008D069D"/>
    <w:rsid w:val="008D655E"/>
    <w:rsid w:val="008F160B"/>
    <w:rsid w:val="008F2CAF"/>
    <w:rsid w:val="008F3427"/>
    <w:rsid w:val="008F56CF"/>
    <w:rsid w:val="00902EA3"/>
    <w:rsid w:val="009036B7"/>
    <w:rsid w:val="0090431A"/>
    <w:rsid w:val="009076EA"/>
    <w:rsid w:val="00910C5D"/>
    <w:rsid w:val="00911F7D"/>
    <w:rsid w:val="00913B2E"/>
    <w:rsid w:val="00915995"/>
    <w:rsid w:val="00915DD8"/>
    <w:rsid w:val="00916D22"/>
    <w:rsid w:val="009205FC"/>
    <w:rsid w:val="00932225"/>
    <w:rsid w:val="00932353"/>
    <w:rsid w:val="00936033"/>
    <w:rsid w:val="00940D2A"/>
    <w:rsid w:val="00944D66"/>
    <w:rsid w:val="00946CB6"/>
    <w:rsid w:val="009515A7"/>
    <w:rsid w:val="00953DAC"/>
    <w:rsid w:val="009561C1"/>
    <w:rsid w:val="009573AC"/>
    <w:rsid w:val="009647B1"/>
    <w:rsid w:val="00965CB3"/>
    <w:rsid w:val="00970C56"/>
    <w:rsid w:val="0097433A"/>
    <w:rsid w:val="00976708"/>
    <w:rsid w:val="0098226A"/>
    <w:rsid w:val="009823A9"/>
    <w:rsid w:val="00983853"/>
    <w:rsid w:val="009849FB"/>
    <w:rsid w:val="00985C4E"/>
    <w:rsid w:val="00985F43"/>
    <w:rsid w:val="00990F73"/>
    <w:rsid w:val="00992F3B"/>
    <w:rsid w:val="00993AA4"/>
    <w:rsid w:val="009B0E2C"/>
    <w:rsid w:val="009B59AB"/>
    <w:rsid w:val="009B796F"/>
    <w:rsid w:val="009C6E37"/>
    <w:rsid w:val="009D4CED"/>
    <w:rsid w:val="009E0D6A"/>
    <w:rsid w:val="009E546B"/>
    <w:rsid w:val="009E6D94"/>
    <w:rsid w:val="009F4D75"/>
    <w:rsid w:val="009F7D3B"/>
    <w:rsid w:val="009F7F61"/>
    <w:rsid w:val="00A03263"/>
    <w:rsid w:val="00A0550C"/>
    <w:rsid w:val="00A05BD7"/>
    <w:rsid w:val="00A10822"/>
    <w:rsid w:val="00A11FF6"/>
    <w:rsid w:val="00A13235"/>
    <w:rsid w:val="00A15A3E"/>
    <w:rsid w:val="00A15DCA"/>
    <w:rsid w:val="00A17315"/>
    <w:rsid w:val="00A24029"/>
    <w:rsid w:val="00A245DE"/>
    <w:rsid w:val="00A260D7"/>
    <w:rsid w:val="00A26AE6"/>
    <w:rsid w:val="00A27228"/>
    <w:rsid w:val="00A35C7F"/>
    <w:rsid w:val="00A3778A"/>
    <w:rsid w:val="00A37970"/>
    <w:rsid w:val="00A44A15"/>
    <w:rsid w:val="00A470DE"/>
    <w:rsid w:val="00A51A67"/>
    <w:rsid w:val="00A52343"/>
    <w:rsid w:val="00A54EAE"/>
    <w:rsid w:val="00A56181"/>
    <w:rsid w:val="00A57B51"/>
    <w:rsid w:val="00A631B1"/>
    <w:rsid w:val="00A6642D"/>
    <w:rsid w:val="00A71293"/>
    <w:rsid w:val="00A71CB7"/>
    <w:rsid w:val="00A72FFF"/>
    <w:rsid w:val="00A73B4E"/>
    <w:rsid w:val="00A73B52"/>
    <w:rsid w:val="00A74660"/>
    <w:rsid w:val="00A829A2"/>
    <w:rsid w:val="00A83F45"/>
    <w:rsid w:val="00A849B8"/>
    <w:rsid w:val="00A86FCA"/>
    <w:rsid w:val="00A91011"/>
    <w:rsid w:val="00A92A52"/>
    <w:rsid w:val="00A97A64"/>
    <w:rsid w:val="00AB0F9D"/>
    <w:rsid w:val="00AB1334"/>
    <w:rsid w:val="00AB367B"/>
    <w:rsid w:val="00AB41BF"/>
    <w:rsid w:val="00AB5A65"/>
    <w:rsid w:val="00AB7EE6"/>
    <w:rsid w:val="00AC689D"/>
    <w:rsid w:val="00AC6E5A"/>
    <w:rsid w:val="00AD09E6"/>
    <w:rsid w:val="00AD1334"/>
    <w:rsid w:val="00AD1E2C"/>
    <w:rsid w:val="00AD269C"/>
    <w:rsid w:val="00AD58E1"/>
    <w:rsid w:val="00AE274C"/>
    <w:rsid w:val="00AE64D3"/>
    <w:rsid w:val="00AE7F81"/>
    <w:rsid w:val="00AF0F77"/>
    <w:rsid w:val="00AF1D91"/>
    <w:rsid w:val="00B0365E"/>
    <w:rsid w:val="00B03FD0"/>
    <w:rsid w:val="00B0417C"/>
    <w:rsid w:val="00B05B17"/>
    <w:rsid w:val="00B1752B"/>
    <w:rsid w:val="00B24DCC"/>
    <w:rsid w:val="00B25274"/>
    <w:rsid w:val="00B27391"/>
    <w:rsid w:val="00B30D1C"/>
    <w:rsid w:val="00B35B50"/>
    <w:rsid w:val="00B3679F"/>
    <w:rsid w:val="00B36BD0"/>
    <w:rsid w:val="00B40529"/>
    <w:rsid w:val="00B413D5"/>
    <w:rsid w:val="00B5241D"/>
    <w:rsid w:val="00B54CFA"/>
    <w:rsid w:val="00B54EBC"/>
    <w:rsid w:val="00B66E50"/>
    <w:rsid w:val="00B71E01"/>
    <w:rsid w:val="00B93BD6"/>
    <w:rsid w:val="00B93E3B"/>
    <w:rsid w:val="00BA0329"/>
    <w:rsid w:val="00BA3EA9"/>
    <w:rsid w:val="00BA7554"/>
    <w:rsid w:val="00BB0E07"/>
    <w:rsid w:val="00BB1A99"/>
    <w:rsid w:val="00BC1804"/>
    <w:rsid w:val="00BC7577"/>
    <w:rsid w:val="00BD5747"/>
    <w:rsid w:val="00BD741B"/>
    <w:rsid w:val="00BD7FD3"/>
    <w:rsid w:val="00BE24BF"/>
    <w:rsid w:val="00BE28C0"/>
    <w:rsid w:val="00BF1242"/>
    <w:rsid w:val="00BF2065"/>
    <w:rsid w:val="00BF2284"/>
    <w:rsid w:val="00BF552A"/>
    <w:rsid w:val="00BF6726"/>
    <w:rsid w:val="00C00168"/>
    <w:rsid w:val="00C0073E"/>
    <w:rsid w:val="00C04E7B"/>
    <w:rsid w:val="00C07763"/>
    <w:rsid w:val="00C078EC"/>
    <w:rsid w:val="00C171FB"/>
    <w:rsid w:val="00C272F9"/>
    <w:rsid w:val="00C3730E"/>
    <w:rsid w:val="00C40E03"/>
    <w:rsid w:val="00C4444F"/>
    <w:rsid w:val="00C5015C"/>
    <w:rsid w:val="00C516C8"/>
    <w:rsid w:val="00C54A18"/>
    <w:rsid w:val="00C6167B"/>
    <w:rsid w:val="00C657FA"/>
    <w:rsid w:val="00C7009C"/>
    <w:rsid w:val="00C73B42"/>
    <w:rsid w:val="00C77BB0"/>
    <w:rsid w:val="00C93159"/>
    <w:rsid w:val="00C96025"/>
    <w:rsid w:val="00CA116A"/>
    <w:rsid w:val="00CA397B"/>
    <w:rsid w:val="00CA426C"/>
    <w:rsid w:val="00CA6494"/>
    <w:rsid w:val="00CB2251"/>
    <w:rsid w:val="00CB2938"/>
    <w:rsid w:val="00CB29C6"/>
    <w:rsid w:val="00CB462E"/>
    <w:rsid w:val="00CB4A74"/>
    <w:rsid w:val="00CC24FE"/>
    <w:rsid w:val="00CC70FB"/>
    <w:rsid w:val="00CD0613"/>
    <w:rsid w:val="00CE55AC"/>
    <w:rsid w:val="00CE5F06"/>
    <w:rsid w:val="00CE7876"/>
    <w:rsid w:val="00CF11CF"/>
    <w:rsid w:val="00CF3CE6"/>
    <w:rsid w:val="00D0155A"/>
    <w:rsid w:val="00D050A3"/>
    <w:rsid w:val="00D0657F"/>
    <w:rsid w:val="00D12234"/>
    <w:rsid w:val="00D13BC3"/>
    <w:rsid w:val="00D14C5C"/>
    <w:rsid w:val="00D14F03"/>
    <w:rsid w:val="00D15369"/>
    <w:rsid w:val="00D1638C"/>
    <w:rsid w:val="00D37BBC"/>
    <w:rsid w:val="00D409BB"/>
    <w:rsid w:val="00D5007A"/>
    <w:rsid w:val="00D551F1"/>
    <w:rsid w:val="00D5598B"/>
    <w:rsid w:val="00D56BD0"/>
    <w:rsid w:val="00D63679"/>
    <w:rsid w:val="00D63B92"/>
    <w:rsid w:val="00D6725D"/>
    <w:rsid w:val="00D67692"/>
    <w:rsid w:val="00D71A2E"/>
    <w:rsid w:val="00D731FC"/>
    <w:rsid w:val="00D7622C"/>
    <w:rsid w:val="00D76E2D"/>
    <w:rsid w:val="00D80973"/>
    <w:rsid w:val="00D867E3"/>
    <w:rsid w:val="00D9348D"/>
    <w:rsid w:val="00D941CE"/>
    <w:rsid w:val="00D9444D"/>
    <w:rsid w:val="00DA42A7"/>
    <w:rsid w:val="00DB3708"/>
    <w:rsid w:val="00DB4C4A"/>
    <w:rsid w:val="00DC32E7"/>
    <w:rsid w:val="00DC397E"/>
    <w:rsid w:val="00DD56E4"/>
    <w:rsid w:val="00DE76F1"/>
    <w:rsid w:val="00DF374F"/>
    <w:rsid w:val="00E004F9"/>
    <w:rsid w:val="00E0140D"/>
    <w:rsid w:val="00E01ADB"/>
    <w:rsid w:val="00E01F7D"/>
    <w:rsid w:val="00E10047"/>
    <w:rsid w:val="00E21168"/>
    <w:rsid w:val="00E23547"/>
    <w:rsid w:val="00E26E63"/>
    <w:rsid w:val="00E2755D"/>
    <w:rsid w:val="00E31F6D"/>
    <w:rsid w:val="00E32BD4"/>
    <w:rsid w:val="00E330B1"/>
    <w:rsid w:val="00E336C0"/>
    <w:rsid w:val="00E40EE7"/>
    <w:rsid w:val="00E44F8A"/>
    <w:rsid w:val="00E457D7"/>
    <w:rsid w:val="00E46527"/>
    <w:rsid w:val="00E52687"/>
    <w:rsid w:val="00E569E4"/>
    <w:rsid w:val="00E5768D"/>
    <w:rsid w:val="00E60CF7"/>
    <w:rsid w:val="00E60DF3"/>
    <w:rsid w:val="00E6205B"/>
    <w:rsid w:val="00E664BA"/>
    <w:rsid w:val="00E745ED"/>
    <w:rsid w:val="00E77E2B"/>
    <w:rsid w:val="00E8120B"/>
    <w:rsid w:val="00E81E0A"/>
    <w:rsid w:val="00E846BA"/>
    <w:rsid w:val="00E85951"/>
    <w:rsid w:val="00E86C47"/>
    <w:rsid w:val="00E9091C"/>
    <w:rsid w:val="00E9165D"/>
    <w:rsid w:val="00E92CC7"/>
    <w:rsid w:val="00E93D45"/>
    <w:rsid w:val="00EA0417"/>
    <w:rsid w:val="00EA1E19"/>
    <w:rsid w:val="00EA4712"/>
    <w:rsid w:val="00EA652C"/>
    <w:rsid w:val="00EB0731"/>
    <w:rsid w:val="00EC320D"/>
    <w:rsid w:val="00EC4DA4"/>
    <w:rsid w:val="00EC6379"/>
    <w:rsid w:val="00ED1FAC"/>
    <w:rsid w:val="00ED4323"/>
    <w:rsid w:val="00ED507C"/>
    <w:rsid w:val="00EE38CD"/>
    <w:rsid w:val="00EE442E"/>
    <w:rsid w:val="00EE6D2C"/>
    <w:rsid w:val="00EE72D7"/>
    <w:rsid w:val="00EE7ABC"/>
    <w:rsid w:val="00EF1158"/>
    <w:rsid w:val="00EF1769"/>
    <w:rsid w:val="00F00EFF"/>
    <w:rsid w:val="00F0134F"/>
    <w:rsid w:val="00F026DB"/>
    <w:rsid w:val="00F05969"/>
    <w:rsid w:val="00F22C99"/>
    <w:rsid w:val="00F2532C"/>
    <w:rsid w:val="00F279E9"/>
    <w:rsid w:val="00F30469"/>
    <w:rsid w:val="00F35569"/>
    <w:rsid w:val="00F3618F"/>
    <w:rsid w:val="00F4008B"/>
    <w:rsid w:val="00F41E61"/>
    <w:rsid w:val="00F423B0"/>
    <w:rsid w:val="00F503C8"/>
    <w:rsid w:val="00F56689"/>
    <w:rsid w:val="00F73796"/>
    <w:rsid w:val="00F821BF"/>
    <w:rsid w:val="00F826B5"/>
    <w:rsid w:val="00F828BE"/>
    <w:rsid w:val="00F853FB"/>
    <w:rsid w:val="00F85EAB"/>
    <w:rsid w:val="00F97D53"/>
    <w:rsid w:val="00FA0BFD"/>
    <w:rsid w:val="00FA4FF9"/>
    <w:rsid w:val="00FB3C62"/>
    <w:rsid w:val="00FB4D1C"/>
    <w:rsid w:val="00FB6FEC"/>
    <w:rsid w:val="00FC06B0"/>
    <w:rsid w:val="00FC3853"/>
    <w:rsid w:val="00FC5129"/>
    <w:rsid w:val="00FC53DE"/>
    <w:rsid w:val="00FC629F"/>
    <w:rsid w:val="00FC6F46"/>
    <w:rsid w:val="00FC74F1"/>
    <w:rsid w:val="00FC7652"/>
    <w:rsid w:val="00FD1B2F"/>
    <w:rsid w:val="00FD2192"/>
    <w:rsid w:val="00FD7838"/>
    <w:rsid w:val="00FD7E55"/>
    <w:rsid w:val="00FE1360"/>
    <w:rsid w:val="00FE497C"/>
    <w:rsid w:val="00FE70B2"/>
    <w:rsid w:val="00FE7398"/>
    <w:rsid w:val="00FF10BF"/>
    <w:rsid w:val="00FF6712"/>
    <w:rsid w:val="034A39C0"/>
    <w:rsid w:val="585A7684"/>
    <w:rsid w:val="6BA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2F71E"/>
  <w15:docId w15:val="{61A95CC2-96AC-429A-8B36-3FE838A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4">
    <w:name w:val="Plain Text"/>
    <w:basedOn w:val="a"/>
    <w:rPr>
      <w:rFonts w:ascii="Arial" w:hAnsi="Arial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8">
    <w:name w:val="header"/>
    <w:basedOn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cs="Times New Roman"/>
      <w:szCs w:val="20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ab">
    <w:name w:val="标题 字符"/>
    <w:basedOn w:val="a0"/>
    <w:link w:val="aa"/>
    <w:qFormat/>
    <w:rPr>
      <w:b/>
      <w:sz w:val="28"/>
      <w:lang w:eastAsia="en-US"/>
    </w:rPr>
  </w:style>
  <w:style w:type="character" w:customStyle="1" w:styleId="bottom1">
    <w:name w:val="bottom1"/>
    <w:basedOn w:val="a0"/>
    <w:rPr>
      <w:color w:val="6E6E6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2">
    <w:name w:val="清單段落"/>
    <w:basedOn w:val="a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576CD8-52A0-4259-B5F3-F39EE8EF8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547</Words>
  <Characters>3123</Characters>
  <Application>Microsoft Office Word</Application>
  <DocSecurity>0</DocSecurity>
  <Lines>26</Lines>
  <Paragraphs>7</Paragraphs>
  <ScaleCrop>false</ScaleCrop>
  <Company>WWW.YlmF.CoM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Admin</cp:lastModifiedBy>
  <cp:revision>6</cp:revision>
  <cp:lastPrinted>2012-10-11T08:46:00Z</cp:lastPrinted>
  <dcterms:created xsi:type="dcterms:W3CDTF">2021-02-20T02:26:00Z</dcterms:created>
  <dcterms:modified xsi:type="dcterms:W3CDTF">2021-03-17T02:25:00Z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