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E3618F" w14:textId="157A6F63" w:rsidR="00BC2146" w:rsidRDefault="007F7564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7F7564">
        <w:rPr>
          <w:rFonts w:ascii="微软雅黑" w:eastAsia="微软雅黑" w:hAnsi="微软雅黑" w:hint="eastAsia"/>
          <w:b/>
          <w:sz w:val="32"/>
          <w:szCs w:val="32"/>
        </w:rPr>
        <w:t>浦发银行</w:t>
      </w:r>
    </w:p>
    <w:p w14:paraId="6A070D2C" w14:textId="77777777" w:rsidR="00BC2146" w:rsidRPr="007F7564" w:rsidRDefault="004266F8">
      <w:pPr>
        <w:rPr>
          <w:rFonts w:ascii="微软雅黑" w:eastAsia="微软雅黑" w:hAnsi="微软雅黑"/>
          <w:color w:val="EAB300"/>
          <w:kern w:val="0"/>
          <w:sz w:val="32"/>
        </w:rPr>
      </w:pPr>
      <w:r>
        <w:rPr>
          <w:rFonts w:ascii="微软雅黑" w:eastAsia="微软雅黑" w:hAnsi="微软雅黑" w:hint="eastAsia"/>
          <w:b/>
        </w:rPr>
        <w:t>所属行业：</w:t>
      </w:r>
      <w:r w:rsidRPr="007F7564">
        <w:rPr>
          <w:rFonts w:ascii="微软雅黑" w:eastAsia="微软雅黑" w:hAnsi="微软雅黑" w:hint="eastAsia"/>
        </w:rPr>
        <w:t>金融</w:t>
      </w:r>
    </w:p>
    <w:p w14:paraId="1BA98621" w14:textId="65ECE842" w:rsidR="00BC2146" w:rsidRPr="007F7564" w:rsidRDefault="004266F8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参选类别：</w:t>
      </w:r>
      <w:r w:rsidR="007F7564" w:rsidRPr="007F7564">
        <w:rPr>
          <w:rFonts w:ascii="微软雅黑" w:eastAsia="微软雅黑" w:hAnsi="微软雅黑" w:hint="eastAsia"/>
        </w:rPr>
        <w:t>数字营销最具创新精神品牌</w:t>
      </w:r>
    </w:p>
    <w:p w14:paraId="6C18CADA" w14:textId="0B0BFCC6" w:rsidR="00BC2146" w:rsidRPr="007F7564" w:rsidRDefault="004266F8" w:rsidP="007F7564"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eastAsia="微软雅黑" w:hAnsi="微软雅黑" w:hint="eastAsia"/>
          <w:b/>
          <w:color w:val="0000FF"/>
          <w:sz w:val="28"/>
          <w:szCs w:val="24"/>
        </w:rPr>
      </w:pP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t>品牌简介</w:t>
      </w:r>
    </w:p>
    <w:p w14:paraId="0E2B08AE" w14:textId="77777777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Cs/>
          <w:szCs w:val="18"/>
        </w:rPr>
      </w:pPr>
      <w:r>
        <w:rPr>
          <w:rFonts w:ascii="微软雅黑" w:eastAsia="微软雅黑" w:hAnsi="微软雅黑" w:hint="eastAsia"/>
          <w:bCs/>
          <w:szCs w:val="18"/>
        </w:rPr>
        <w:t>上海浦东发展银行（简称：浦发银行或上海浦发银行）是</w:t>
      </w:r>
      <w:r>
        <w:rPr>
          <w:rFonts w:ascii="微软雅黑" w:eastAsia="微软雅黑" w:hAnsi="微软雅黑" w:hint="eastAsia"/>
          <w:bCs/>
          <w:szCs w:val="18"/>
        </w:rPr>
        <w:t>1992</w:t>
      </w:r>
      <w:r>
        <w:rPr>
          <w:rFonts w:ascii="微软雅黑" w:eastAsia="微软雅黑" w:hAnsi="微软雅黑" w:hint="eastAsia"/>
          <w:bCs/>
          <w:szCs w:val="18"/>
        </w:rPr>
        <w:t>年</w:t>
      </w:r>
      <w:r>
        <w:rPr>
          <w:rFonts w:ascii="微软雅黑" w:eastAsia="微软雅黑" w:hAnsi="微软雅黑" w:hint="eastAsia"/>
          <w:bCs/>
          <w:szCs w:val="18"/>
        </w:rPr>
        <w:t>8</w:t>
      </w:r>
      <w:r>
        <w:rPr>
          <w:rFonts w:ascii="微软雅黑" w:eastAsia="微软雅黑" w:hAnsi="微软雅黑" w:hint="eastAsia"/>
          <w:bCs/>
          <w:szCs w:val="18"/>
        </w:rPr>
        <w:t>月</w:t>
      </w:r>
      <w:r>
        <w:rPr>
          <w:rFonts w:ascii="微软雅黑" w:eastAsia="微软雅黑" w:hAnsi="微软雅黑" w:hint="eastAsia"/>
          <w:bCs/>
          <w:szCs w:val="18"/>
        </w:rPr>
        <w:t>28</w:t>
      </w:r>
      <w:r>
        <w:rPr>
          <w:rFonts w:ascii="微软雅黑" w:eastAsia="微软雅黑" w:hAnsi="微软雅黑" w:hint="eastAsia"/>
          <w:bCs/>
          <w:szCs w:val="18"/>
        </w:rPr>
        <w:t>日经</w:t>
      </w:r>
      <w:r>
        <w:rPr>
          <w:rFonts w:ascii="微软雅黑" w:eastAsia="微软雅黑" w:hAnsi="微软雅黑" w:hint="eastAsia"/>
          <w:bCs/>
          <w:szCs w:val="18"/>
        </w:rPr>
        <w:fldChar w:fldCharType="begin"/>
      </w:r>
      <w:r>
        <w:rPr>
          <w:rFonts w:ascii="微软雅黑" w:eastAsia="微软雅黑" w:hAnsi="微软雅黑" w:hint="eastAsia"/>
          <w:bCs/>
          <w:szCs w:val="18"/>
        </w:rPr>
        <w:instrText xml:space="preserve"> HYPERLINK "https://baike.baidu.com/item/%E4%B8%AD%E5%9B%BD%E4%BA%BA%E6%B0%91%E9%93%B6%E8%A1%8C/418386" \t "https://baike.baidu.com/item/%E4%B8%8A%E6%B5%B7%E6%B5%A6%E4%B8%9C%E5%8F%91%E5%B1%95%E9%93%B6%E8%A1%8C/_blank" </w:instrText>
      </w:r>
      <w:r>
        <w:rPr>
          <w:rFonts w:ascii="微软雅黑" w:eastAsia="微软雅黑" w:hAnsi="微软雅黑" w:hint="eastAsia"/>
          <w:bCs/>
          <w:szCs w:val="18"/>
        </w:rPr>
        <w:fldChar w:fldCharType="separate"/>
      </w:r>
      <w:r>
        <w:rPr>
          <w:rFonts w:ascii="微软雅黑" w:eastAsia="微软雅黑" w:hAnsi="微软雅黑" w:hint="eastAsia"/>
          <w:bCs/>
          <w:szCs w:val="18"/>
        </w:rPr>
        <w:t>中国人民银行</w:t>
      </w:r>
      <w:r>
        <w:rPr>
          <w:rFonts w:ascii="微软雅黑" w:eastAsia="微软雅黑" w:hAnsi="微软雅黑" w:hint="eastAsia"/>
          <w:bCs/>
          <w:szCs w:val="18"/>
        </w:rPr>
        <w:fldChar w:fldCharType="end"/>
      </w:r>
      <w:r>
        <w:rPr>
          <w:rFonts w:ascii="微软雅黑" w:eastAsia="微软雅黑" w:hAnsi="微软雅黑" w:hint="eastAsia"/>
          <w:bCs/>
          <w:szCs w:val="18"/>
        </w:rPr>
        <w:t>批准设立、</w:t>
      </w:r>
      <w:r>
        <w:rPr>
          <w:rFonts w:ascii="微软雅黑" w:eastAsia="微软雅黑" w:hAnsi="微软雅黑" w:hint="eastAsia"/>
          <w:bCs/>
          <w:szCs w:val="18"/>
        </w:rPr>
        <w:t>1993</w:t>
      </w:r>
      <w:r>
        <w:rPr>
          <w:rFonts w:ascii="微软雅黑" w:eastAsia="微软雅黑" w:hAnsi="微软雅黑" w:hint="eastAsia"/>
          <w:bCs/>
          <w:szCs w:val="18"/>
        </w:rPr>
        <w:t>年</w:t>
      </w:r>
      <w:r>
        <w:rPr>
          <w:rFonts w:ascii="微软雅黑" w:eastAsia="微软雅黑" w:hAnsi="微软雅黑" w:hint="eastAsia"/>
          <w:bCs/>
          <w:szCs w:val="18"/>
        </w:rPr>
        <w:t>1</w:t>
      </w:r>
      <w:r>
        <w:rPr>
          <w:rFonts w:ascii="微软雅黑" w:eastAsia="微软雅黑" w:hAnsi="微软雅黑" w:hint="eastAsia"/>
          <w:bCs/>
          <w:szCs w:val="18"/>
        </w:rPr>
        <w:t>月</w:t>
      </w:r>
      <w:r>
        <w:rPr>
          <w:rFonts w:ascii="微软雅黑" w:eastAsia="微软雅黑" w:hAnsi="微软雅黑" w:hint="eastAsia"/>
          <w:bCs/>
          <w:szCs w:val="18"/>
        </w:rPr>
        <w:t>9</w:t>
      </w:r>
      <w:r>
        <w:rPr>
          <w:rFonts w:ascii="微软雅黑" w:eastAsia="微软雅黑" w:hAnsi="微软雅黑" w:hint="eastAsia"/>
          <w:bCs/>
          <w:szCs w:val="18"/>
        </w:rPr>
        <w:t>日开业、</w:t>
      </w:r>
      <w:r>
        <w:rPr>
          <w:rFonts w:ascii="微软雅黑" w:eastAsia="微软雅黑" w:hAnsi="微软雅黑" w:hint="eastAsia"/>
          <w:bCs/>
          <w:szCs w:val="18"/>
        </w:rPr>
        <w:t>1999</w:t>
      </w:r>
      <w:r>
        <w:rPr>
          <w:rFonts w:ascii="微软雅黑" w:eastAsia="微软雅黑" w:hAnsi="微软雅黑" w:hint="eastAsia"/>
          <w:bCs/>
          <w:szCs w:val="18"/>
        </w:rPr>
        <w:t>年在上海证券交易</w:t>
      </w:r>
      <w:r>
        <w:rPr>
          <w:rFonts w:ascii="微软雅黑" w:eastAsia="微软雅黑" w:hAnsi="微软雅黑" w:hint="eastAsia"/>
          <w:bCs/>
          <w:szCs w:val="18"/>
        </w:rPr>
        <w:t>所成功挂牌上市（</w:t>
      </w:r>
      <w:hyperlink r:id="rId9" w:tgtFrame="https://baike.baidu.com/item/%E4%B8%8A%E6%B5%B7%E6%B5%A6%E4%B8%9C%E5%8F%91%E5%B1%95%E9%93%B6%E8%A1%8C/_blank" w:history="1">
        <w:r>
          <w:rPr>
            <w:rFonts w:ascii="微软雅黑" w:eastAsia="微软雅黑" w:hAnsi="微软雅黑" w:hint="eastAsia"/>
            <w:bCs/>
            <w:szCs w:val="18"/>
          </w:rPr>
          <w:t>股票交易</w:t>
        </w:r>
      </w:hyperlink>
      <w:r>
        <w:rPr>
          <w:rFonts w:ascii="微软雅黑" w:eastAsia="微软雅黑" w:hAnsi="微软雅黑" w:hint="eastAsia"/>
          <w:bCs/>
          <w:szCs w:val="18"/>
        </w:rPr>
        <w:t>代码：</w:t>
      </w:r>
      <w:r>
        <w:rPr>
          <w:rFonts w:ascii="微软雅黑" w:eastAsia="微软雅黑" w:hAnsi="微软雅黑" w:hint="eastAsia"/>
          <w:bCs/>
          <w:szCs w:val="18"/>
        </w:rPr>
        <w:t>600000</w:t>
      </w:r>
      <w:r>
        <w:rPr>
          <w:rFonts w:ascii="微软雅黑" w:eastAsia="微软雅黑" w:hAnsi="微软雅黑" w:hint="eastAsia"/>
          <w:bCs/>
          <w:szCs w:val="18"/>
        </w:rPr>
        <w:t>）的全国性</w:t>
      </w:r>
      <w:r>
        <w:rPr>
          <w:rFonts w:ascii="微软雅黑" w:eastAsia="微软雅黑" w:hAnsi="微软雅黑" w:hint="eastAsia"/>
          <w:bCs/>
          <w:szCs w:val="18"/>
        </w:rPr>
        <w:fldChar w:fldCharType="begin"/>
      </w:r>
      <w:r>
        <w:rPr>
          <w:rFonts w:ascii="微软雅黑" w:eastAsia="微软雅黑" w:hAnsi="微软雅黑" w:hint="eastAsia"/>
          <w:bCs/>
          <w:szCs w:val="18"/>
        </w:rPr>
        <w:instrText xml:space="preserve"> HYPERLINK "https://baike.</w:instrText>
      </w:r>
      <w:r>
        <w:rPr>
          <w:rFonts w:ascii="微软雅黑" w:eastAsia="微软雅黑" w:hAnsi="微软雅黑" w:hint="eastAsia"/>
          <w:bCs/>
          <w:szCs w:val="18"/>
        </w:rPr>
        <w:instrText xml:space="preserve">baidu.com/item/%E8%82%A1%E4%BB%BD%E5%88%B6%E5%95%86%E4%B8%9A%E9%93%B6%E8%A1%8C/2131041" \t "https://baike.baidu.com/item/%E4%B8%8A%E6%B5%B7%E6%B5%A6%E4%B8%9C%E5%8F%91%E5%B1%95%E9%93%B6%E8%A1%8C/_blank" </w:instrText>
      </w:r>
      <w:r>
        <w:rPr>
          <w:rFonts w:ascii="微软雅黑" w:eastAsia="微软雅黑" w:hAnsi="微软雅黑" w:hint="eastAsia"/>
          <w:bCs/>
          <w:szCs w:val="18"/>
        </w:rPr>
        <w:fldChar w:fldCharType="separate"/>
      </w:r>
      <w:r>
        <w:rPr>
          <w:rFonts w:ascii="微软雅黑" w:eastAsia="微软雅黑" w:hAnsi="微软雅黑" w:hint="eastAsia"/>
          <w:bCs/>
          <w:szCs w:val="18"/>
        </w:rPr>
        <w:t>股份制商业银行</w:t>
      </w:r>
      <w:r>
        <w:rPr>
          <w:rFonts w:ascii="微软雅黑" w:eastAsia="微软雅黑" w:hAnsi="微软雅黑" w:hint="eastAsia"/>
          <w:bCs/>
          <w:szCs w:val="18"/>
        </w:rPr>
        <w:fldChar w:fldCharType="end"/>
      </w:r>
      <w:r>
        <w:rPr>
          <w:rFonts w:ascii="微软雅黑" w:eastAsia="微软雅黑" w:hAnsi="微软雅黑" w:hint="eastAsia"/>
          <w:bCs/>
          <w:szCs w:val="18"/>
        </w:rPr>
        <w:t>，总行设在</w:t>
      </w:r>
      <w:hyperlink r:id="rId10" w:tgtFrame="https://baike.baidu.com/item/%E4%B8%8A%E6%B5%B7%E6%B5%A6%E4%B8%9C%E5%8F%91%E5%B1%95%E9%93%B6%E8%A1%8C/_blank" w:history="1">
        <w:r>
          <w:rPr>
            <w:rFonts w:ascii="微软雅黑" w:eastAsia="微软雅黑" w:hAnsi="微软雅黑" w:hint="eastAsia"/>
            <w:bCs/>
            <w:szCs w:val="18"/>
          </w:rPr>
          <w:t>上海</w:t>
        </w:r>
      </w:hyperlink>
      <w:r>
        <w:rPr>
          <w:rFonts w:ascii="微软雅黑" w:eastAsia="微软雅黑" w:hAnsi="微软雅黑" w:hint="eastAsia"/>
          <w:bCs/>
          <w:szCs w:val="18"/>
        </w:rPr>
        <w:t>。</w:t>
      </w:r>
    </w:p>
    <w:p w14:paraId="2E05B463" w14:textId="065BCA82" w:rsidR="00BC2146" w:rsidRPr="007F7564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 w:hint="eastAsia"/>
        </w:rPr>
      </w:pPr>
      <w:proofErr w:type="gramStart"/>
      <w:r>
        <w:rPr>
          <w:rFonts w:ascii="微软雅黑" w:eastAsia="微软雅黑" w:hAnsi="微软雅黑" w:hint="eastAsia"/>
          <w:bCs/>
          <w:szCs w:val="18"/>
        </w:rPr>
        <w:t>浦惠到家</w:t>
      </w:r>
      <w:proofErr w:type="gramEnd"/>
      <w:r>
        <w:rPr>
          <w:rFonts w:ascii="微软雅黑" w:eastAsia="微软雅黑" w:hAnsi="微软雅黑" w:hint="eastAsia"/>
          <w:bCs/>
          <w:szCs w:val="18"/>
        </w:rPr>
        <w:t>平台是浦发银行布局全景银行的重要一环。平台提供的合作模式，有效整合了企业客户资源，成为</w:t>
      </w:r>
      <w:r>
        <w:rPr>
          <w:rFonts w:ascii="微软雅黑" w:eastAsia="微软雅黑" w:hAnsi="微软雅黑" w:hint="eastAsia"/>
          <w:bCs/>
          <w:szCs w:val="18"/>
        </w:rPr>
        <w:t>B</w:t>
      </w:r>
      <w:proofErr w:type="gramStart"/>
      <w:r>
        <w:rPr>
          <w:rFonts w:ascii="微软雅黑" w:eastAsia="微软雅黑" w:hAnsi="微软雅黑" w:hint="eastAsia"/>
          <w:bCs/>
          <w:szCs w:val="18"/>
        </w:rPr>
        <w:t>端客户</w:t>
      </w:r>
      <w:proofErr w:type="gramEnd"/>
      <w:r>
        <w:rPr>
          <w:rFonts w:ascii="微软雅黑" w:eastAsia="微软雅黑" w:hAnsi="微软雅黑" w:hint="eastAsia"/>
          <w:bCs/>
          <w:szCs w:val="18"/>
        </w:rPr>
        <w:t>的重要销售渠道。一方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面，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浦惠到家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APP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与头部品牌进行直销合作，不收入驻费用，不提销售佣金，以最优惠的价格给到消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费者最优质的产品。另一方面，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浦惠到家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APP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联手品牌方投入大量市场推广资源，包括商品补贴和广告投入，并通过多种营销玩法，持续扩大品牌影响力。当前，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浦惠到家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注册用户已超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1400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万，以月均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200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万的增速增长；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2021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年第一季度，平台销售额已突破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亿元。除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F2C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模式之外，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浦惠到家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APP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还将围绕企业员工福利、乡村振兴等方向展开布局和突破。通过响应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G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端、赋能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B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端、惠及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C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端，不断拓展服务广度与深度，构建开放共享、和谐共生的生态圈。</w:t>
      </w:r>
    </w:p>
    <w:p w14:paraId="31371E2D" w14:textId="1B5446E6" w:rsidR="00BC2146" w:rsidRPr="007F7564" w:rsidRDefault="004266F8" w:rsidP="007F7564"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eastAsia="微软雅黑" w:hAnsi="微软雅黑" w:hint="eastAsia"/>
          <w:b/>
          <w:color w:val="0000FF"/>
          <w:sz w:val="28"/>
          <w:szCs w:val="24"/>
        </w:rPr>
      </w:pP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t>20</w:t>
      </w:r>
      <w:r>
        <w:rPr>
          <w:rFonts w:ascii="微软雅黑" w:eastAsia="微软雅黑" w:hAnsi="微软雅黑"/>
          <w:b/>
          <w:color w:val="0000FF"/>
          <w:sz w:val="28"/>
          <w:szCs w:val="24"/>
        </w:rPr>
        <w:t>20</w:t>
      </w: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t>年数字营销创新性表现</w:t>
      </w:r>
    </w:p>
    <w:p w14:paraId="2A8D824F" w14:textId="77777777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szCs w:val="18"/>
        </w:rPr>
      </w:pPr>
      <w:r>
        <w:rPr>
          <w:rFonts w:ascii="微软雅黑" w:eastAsia="微软雅黑" w:hAnsi="微软雅黑" w:hint="eastAsia"/>
          <w:bCs/>
          <w:szCs w:val="18"/>
        </w:rPr>
        <w:t>在金融数字化潮流和全球疫情影响下，传统银行的“脱媒”趋势愈发明显。近些年商业银行在网上银行、手机银行等电子渠道大大降低了银行和客户的交易成本，但是针对性服务的缺失，导致银行网上银行、</w:t>
      </w:r>
      <w:r>
        <w:rPr>
          <w:rFonts w:ascii="微软雅黑" w:eastAsia="微软雅黑" w:hAnsi="微软雅黑"/>
          <w:bCs/>
          <w:szCs w:val="18"/>
        </w:rPr>
        <w:t>APP</w:t>
      </w:r>
      <w:r>
        <w:rPr>
          <w:rFonts w:ascii="微软雅黑" w:eastAsia="微软雅黑" w:hAnsi="微软雅黑"/>
          <w:bCs/>
          <w:szCs w:val="18"/>
        </w:rPr>
        <w:t>等日益成为一种</w:t>
      </w:r>
      <w:r>
        <w:rPr>
          <w:rFonts w:ascii="微软雅黑" w:eastAsia="微软雅黑" w:hAnsi="微软雅黑"/>
          <w:bCs/>
          <w:szCs w:val="18"/>
        </w:rPr>
        <w:t>“</w:t>
      </w:r>
      <w:r>
        <w:rPr>
          <w:rFonts w:ascii="微软雅黑" w:eastAsia="微软雅黑" w:hAnsi="微软雅黑"/>
          <w:bCs/>
          <w:szCs w:val="18"/>
        </w:rPr>
        <w:t>超低频</w:t>
      </w:r>
      <w:r>
        <w:rPr>
          <w:rFonts w:ascii="微软雅黑" w:eastAsia="微软雅黑" w:hAnsi="微软雅黑"/>
          <w:bCs/>
          <w:szCs w:val="18"/>
        </w:rPr>
        <w:t>”</w:t>
      </w:r>
      <w:r>
        <w:rPr>
          <w:rFonts w:ascii="微软雅黑" w:eastAsia="微软雅黑" w:hAnsi="微软雅黑"/>
          <w:bCs/>
          <w:szCs w:val="18"/>
        </w:rPr>
        <w:t>渠道，在客户生活圈中边缘化趋势明显。</w:t>
      </w:r>
      <w:r>
        <w:rPr>
          <w:rFonts w:ascii="微软雅黑" w:eastAsia="微软雅黑" w:hAnsi="微软雅黑" w:hint="eastAsia"/>
          <w:bCs/>
          <w:szCs w:val="21"/>
        </w:rPr>
        <w:t>提升客户黏性、强化客户活跃度，提升银行自身数据的价值，成为商业银行亟待解决的问题。</w:t>
      </w:r>
      <w:r>
        <w:rPr>
          <w:rFonts w:ascii="微软雅黑" w:eastAsia="微软雅黑" w:hAnsi="微软雅黑" w:hint="eastAsia"/>
          <w:b/>
          <w:szCs w:val="21"/>
        </w:rPr>
        <w:t>在互联网流量红利趋于饱和的情况下，银行在获客、留客、</w:t>
      </w:r>
      <w:proofErr w:type="gramStart"/>
      <w:r>
        <w:rPr>
          <w:rFonts w:ascii="微软雅黑" w:eastAsia="微软雅黑" w:hAnsi="微软雅黑" w:hint="eastAsia"/>
          <w:b/>
          <w:szCs w:val="21"/>
        </w:rPr>
        <w:t>活客方面</w:t>
      </w:r>
      <w:proofErr w:type="gramEnd"/>
      <w:r>
        <w:rPr>
          <w:rFonts w:ascii="微软雅黑" w:eastAsia="微软雅黑" w:hAnsi="微软雅黑" w:hint="eastAsia"/>
          <w:b/>
          <w:szCs w:val="21"/>
        </w:rPr>
        <w:t>面临着巨大的挑战，而</w:t>
      </w:r>
      <w:r>
        <w:rPr>
          <w:rFonts w:ascii="微软雅黑" w:eastAsia="微软雅黑" w:hAnsi="微软雅黑"/>
          <w:b/>
          <w:szCs w:val="18"/>
        </w:rPr>
        <w:t>基于银行自有客户的电商体系，成为</w:t>
      </w:r>
      <w:r>
        <w:rPr>
          <w:rFonts w:ascii="微软雅黑" w:eastAsia="微软雅黑" w:hAnsi="微软雅黑" w:hint="eastAsia"/>
          <w:b/>
          <w:szCs w:val="18"/>
        </w:rPr>
        <w:t>传统</w:t>
      </w:r>
      <w:r>
        <w:rPr>
          <w:rFonts w:ascii="微软雅黑" w:eastAsia="微软雅黑" w:hAnsi="微软雅黑"/>
          <w:b/>
          <w:szCs w:val="18"/>
        </w:rPr>
        <w:t>银行</w:t>
      </w:r>
      <w:r>
        <w:rPr>
          <w:rFonts w:ascii="微软雅黑" w:eastAsia="微软雅黑" w:hAnsi="微软雅黑" w:hint="eastAsia"/>
          <w:b/>
          <w:szCs w:val="18"/>
        </w:rPr>
        <w:t>线</w:t>
      </w:r>
      <w:proofErr w:type="gramStart"/>
      <w:r>
        <w:rPr>
          <w:rFonts w:ascii="微软雅黑" w:eastAsia="微软雅黑" w:hAnsi="微软雅黑" w:hint="eastAsia"/>
          <w:b/>
          <w:szCs w:val="18"/>
        </w:rPr>
        <w:t>上获客</w:t>
      </w:r>
      <w:r>
        <w:rPr>
          <w:rFonts w:ascii="微软雅黑" w:eastAsia="微软雅黑" w:hAnsi="微软雅黑"/>
          <w:b/>
          <w:szCs w:val="18"/>
        </w:rPr>
        <w:t>的</w:t>
      </w:r>
      <w:proofErr w:type="gramEnd"/>
      <w:r>
        <w:rPr>
          <w:rFonts w:ascii="微软雅黑" w:eastAsia="微软雅黑" w:hAnsi="微软雅黑"/>
          <w:b/>
          <w:szCs w:val="18"/>
        </w:rPr>
        <w:t>突破口。</w:t>
      </w:r>
    </w:p>
    <w:p w14:paraId="2C7B6DB1" w14:textId="6769F2EF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szCs w:val="21"/>
        </w:rPr>
        <w:t>在数字经济快速发展的当下，浦发银行审时度势，围绕生活服务等高频场景</w:t>
      </w:r>
      <w:r>
        <w:rPr>
          <w:rFonts w:ascii="微软雅黑" w:eastAsia="微软雅黑" w:hAnsi="微软雅黑" w:hint="eastAsia"/>
          <w:bCs/>
          <w:szCs w:val="21"/>
        </w:rPr>
        <w:t>，将银行金融服务、非金融服务与企业、互联网平台等第三</w:t>
      </w:r>
      <w:proofErr w:type="gramStart"/>
      <w:r>
        <w:rPr>
          <w:rFonts w:ascii="微软雅黑" w:eastAsia="微软雅黑" w:hAnsi="微软雅黑" w:hint="eastAsia"/>
          <w:bCs/>
          <w:szCs w:val="21"/>
        </w:rPr>
        <w:t>方服务</w:t>
      </w:r>
      <w:proofErr w:type="gramEnd"/>
      <w:r>
        <w:rPr>
          <w:rFonts w:ascii="微软雅黑" w:eastAsia="微软雅黑" w:hAnsi="微软雅黑" w:hint="eastAsia"/>
          <w:bCs/>
          <w:szCs w:val="21"/>
        </w:rPr>
        <w:t>进行深度结合，把场景服务触角延伸到</w:t>
      </w:r>
      <w:r>
        <w:rPr>
          <w:rFonts w:ascii="微软雅黑" w:eastAsia="微软雅黑" w:hAnsi="微软雅黑"/>
          <w:bCs/>
          <w:szCs w:val="21"/>
        </w:rPr>
        <w:t>B</w:t>
      </w:r>
      <w:r>
        <w:rPr>
          <w:rFonts w:ascii="微软雅黑" w:eastAsia="微软雅黑" w:hAnsi="微软雅黑"/>
          <w:bCs/>
          <w:szCs w:val="21"/>
        </w:rPr>
        <w:t>、</w:t>
      </w:r>
      <w:r>
        <w:rPr>
          <w:rFonts w:ascii="微软雅黑" w:eastAsia="微软雅黑" w:hAnsi="微软雅黑"/>
          <w:bCs/>
          <w:szCs w:val="21"/>
        </w:rPr>
        <w:t>C</w:t>
      </w:r>
      <w:r>
        <w:rPr>
          <w:rFonts w:ascii="微软雅黑" w:eastAsia="微软雅黑" w:hAnsi="微软雅黑"/>
          <w:bCs/>
          <w:szCs w:val="21"/>
        </w:rPr>
        <w:t>端客户，</w:t>
      </w:r>
      <w:r>
        <w:rPr>
          <w:rFonts w:ascii="微软雅黑" w:eastAsia="微软雅黑" w:hAnsi="微软雅黑" w:hint="eastAsia"/>
          <w:szCs w:val="21"/>
        </w:rPr>
        <w:t>孵化推出</w:t>
      </w:r>
      <w:r>
        <w:rPr>
          <w:rFonts w:ascii="微软雅黑" w:eastAsia="微软雅黑" w:hAnsi="微软雅黑"/>
          <w:b/>
          <w:bCs/>
          <w:szCs w:val="21"/>
        </w:rPr>
        <w:t>专注于打造</w:t>
      </w:r>
      <w:r>
        <w:rPr>
          <w:rFonts w:ascii="微软雅黑" w:eastAsia="微软雅黑" w:hAnsi="微软雅黑"/>
          <w:b/>
          <w:bCs/>
          <w:szCs w:val="21"/>
        </w:rPr>
        <w:t>“</w:t>
      </w:r>
      <w:r>
        <w:rPr>
          <w:rFonts w:ascii="微软雅黑" w:eastAsia="微软雅黑" w:hAnsi="微软雅黑"/>
          <w:b/>
          <w:bCs/>
          <w:szCs w:val="21"/>
        </w:rPr>
        <w:t>惠生活，更会生活</w:t>
      </w:r>
      <w:r>
        <w:rPr>
          <w:rFonts w:ascii="微软雅黑" w:eastAsia="微软雅黑" w:hAnsi="微软雅黑"/>
          <w:b/>
          <w:bCs/>
          <w:szCs w:val="21"/>
        </w:rPr>
        <w:t>”</w:t>
      </w:r>
      <w:r>
        <w:rPr>
          <w:rFonts w:ascii="微软雅黑" w:eastAsia="微软雅黑" w:hAnsi="微软雅黑"/>
          <w:b/>
          <w:bCs/>
          <w:szCs w:val="21"/>
        </w:rPr>
        <w:t>理念的智能型</w:t>
      </w:r>
      <w:r>
        <w:rPr>
          <w:rFonts w:ascii="微软雅黑" w:eastAsia="微软雅黑" w:hAnsi="微软雅黑"/>
          <w:b/>
          <w:bCs/>
          <w:szCs w:val="21"/>
        </w:rPr>
        <w:t>APP——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浦惠到家</w:t>
      </w:r>
      <w:proofErr w:type="gramEnd"/>
      <w:r>
        <w:rPr>
          <w:rFonts w:ascii="微软雅黑" w:eastAsia="微软雅黑" w:hAnsi="微软雅黑"/>
          <w:b/>
          <w:bCs/>
          <w:szCs w:val="21"/>
        </w:rPr>
        <w:t>数字化平台，持续深耕场景应用，全方位服务</w:t>
      </w:r>
      <w:r>
        <w:rPr>
          <w:rFonts w:ascii="微软雅黑" w:eastAsia="微软雅黑" w:hAnsi="微软雅黑"/>
          <w:b/>
          <w:bCs/>
          <w:szCs w:val="21"/>
        </w:rPr>
        <w:t>C</w:t>
      </w:r>
      <w:r>
        <w:rPr>
          <w:rFonts w:ascii="微软雅黑" w:eastAsia="微软雅黑" w:hAnsi="微软雅黑"/>
          <w:b/>
          <w:bCs/>
          <w:szCs w:val="21"/>
        </w:rPr>
        <w:t>端客户，赋能服务</w:t>
      </w:r>
      <w:r>
        <w:rPr>
          <w:rFonts w:ascii="微软雅黑" w:eastAsia="微软雅黑" w:hAnsi="微软雅黑"/>
          <w:b/>
          <w:bCs/>
          <w:szCs w:val="21"/>
        </w:rPr>
        <w:t>B</w:t>
      </w:r>
      <w:r>
        <w:rPr>
          <w:rFonts w:ascii="微软雅黑" w:eastAsia="微软雅黑" w:hAnsi="微软雅黑"/>
          <w:b/>
          <w:bCs/>
          <w:szCs w:val="21"/>
        </w:rPr>
        <w:t>端客户。</w:t>
      </w:r>
    </w:p>
    <w:p w14:paraId="2DA0472B" w14:textId="72E386F0" w:rsidR="00BC2146" w:rsidRPr="007F7564" w:rsidRDefault="004266F8" w:rsidP="007F7564">
      <w:pPr>
        <w:spacing w:before="100" w:beforeAutospacing="1" w:after="100" w:afterAutospacing="1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t>代表案例</w:t>
      </w:r>
    </w:p>
    <w:p w14:paraId="78D70D51" w14:textId="77777777" w:rsidR="00BC2146" w:rsidRDefault="004266F8" w:rsidP="007F7564">
      <w:pPr>
        <w:spacing w:before="100" w:beforeAutospacing="1" w:after="100" w:afterAutospacing="1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【案例名称】</w:t>
      </w:r>
    </w:p>
    <w:p w14:paraId="04C5D6DE" w14:textId="1DBC99EE" w:rsidR="00BC2146" w:rsidRDefault="004266F8" w:rsidP="007F7564">
      <w:pPr>
        <w:spacing w:before="100" w:beforeAutospacing="1" w:after="100" w:afterAutospacing="1"/>
        <w:rPr>
          <w:rFonts w:ascii="微软雅黑" w:eastAsia="微软雅黑" w:hAnsi="微软雅黑" w:hint="eastAsia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浦发</w:t>
      </w:r>
      <w:r>
        <w:rPr>
          <w:rFonts w:ascii="微软雅黑" w:eastAsia="微软雅黑" w:hAnsi="微软雅黑" w:hint="eastAsia"/>
          <w:bCs/>
          <w:szCs w:val="21"/>
        </w:rPr>
        <w:t>银行</w:t>
      </w:r>
      <w:r>
        <w:rPr>
          <w:rFonts w:ascii="微软雅黑" w:eastAsia="微软雅黑" w:hAnsi="微软雅黑" w:hint="eastAsia"/>
          <w:bCs/>
          <w:szCs w:val="21"/>
        </w:rPr>
        <w:t>x</w:t>
      </w:r>
      <w:r>
        <w:rPr>
          <w:rFonts w:ascii="微软雅黑" w:eastAsia="微软雅黑" w:hAnsi="微软雅黑" w:hint="eastAsia"/>
          <w:bCs/>
          <w:szCs w:val="21"/>
        </w:rPr>
        <w:t>小米创新营销</w:t>
      </w:r>
      <w:r>
        <w:rPr>
          <w:rFonts w:ascii="微软雅黑" w:eastAsia="微软雅黑" w:hAnsi="微软雅黑" w:hint="eastAsia"/>
          <w:bCs/>
          <w:szCs w:val="21"/>
        </w:rPr>
        <w:t>案</w:t>
      </w:r>
    </w:p>
    <w:p w14:paraId="34D0A33E" w14:textId="77777777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lastRenderedPageBreak/>
        <w:t>【策略核心】</w:t>
      </w:r>
    </w:p>
    <w:p w14:paraId="58B8EF8D" w14:textId="6699B2DB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以</w:t>
      </w:r>
      <w:r>
        <w:rPr>
          <w:rFonts w:ascii="微软雅黑" w:eastAsia="微软雅黑" w:hAnsi="微软雅黑"/>
          <w:szCs w:val="21"/>
        </w:rPr>
        <w:t>“</w:t>
      </w:r>
      <w:r>
        <w:rPr>
          <w:rFonts w:ascii="微软雅黑" w:eastAsia="微软雅黑" w:hAnsi="微软雅黑"/>
          <w:szCs w:val="21"/>
        </w:rPr>
        <w:t>惠生活，更会生活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/>
          <w:bCs/>
          <w:szCs w:val="21"/>
        </w:rPr>
        <w:t>的品牌</w:t>
      </w:r>
      <w:r>
        <w:rPr>
          <w:rFonts w:ascii="微软雅黑" w:eastAsia="微软雅黑" w:hAnsi="微软雅黑" w:hint="eastAsia"/>
          <w:bCs/>
          <w:szCs w:val="21"/>
        </w:rPr>
        <w:t>理念</w:t>
      </w:r>
      <w:proofErr w:type="gramStart"/>
      <w:r>
        <w:rPr>
          <w:rFonts w:ascii="微软雅黑" w:eastAsia="微软雅黑" w:hAnsi="微软雅黑"/>
          <w:bCs/>
          <w:szCs w:val="21"/>
        </w:rPr>
        <w:t>圈连目标</w:t>
      </w:r>
      <w:proofErr w:type="gramEnd"/>
      <w:r>
        <w:rPr>
          <w:rFonts w:ascii="微软雅黑" w:eastAsia="微软雅黑" w:hAnsi="微软雅黑"/>
          <w:bCs/>
          <w:szCs w:val="21"/>
        </w:rPr>
        <w:t>受众人群，将</w:t>
      </w:r>
      <w:r>
        <w:rPr>
          <w:rFonts w:ascii="微软雅黑" w:eastAsia="微软雅黑" w:hAnsi="微软雅黑" w:hint="eastAsia"/>
          <w:bCs/>
          <w:szCs w:val="21"/>
        </w:rPr>
        <w:t>小米运动</w:t>
      </w:r>
      <w:proofErr w:type="gramStart"/>
      <w:r>
        <w:rPr>
          <w:rFonts w:ascii="微软雅黑" w:eastAsia="微软雅黑" w:hAnsi="微软雅黑"/>
          <w:bCs/>
          <w:szCs w:val="21"/>
        </w:rPr>
        <w:t>作为</w:t>
      </w:r>
      <w:r>
        <w:rPr>
          <w:rFonts w:ascii="微软雅黑" w:eastAsia="微软雅黑" w:hAnsi="微软雅黑" w:hint="eastAsia"/>
          <w:bCs/>
          <w:szCs w:val="21"/>
        </w:rPr>
        <w:t>浦惠到家</w:t>
      </w:r>
      <w:proofErr w:type="gramEnd"/>
      <w:r>
        <w:rPr>
          <w:rFonts w:ascii="微软雅黑" w:eastAsia="微软雅黑" w:hAnsi="微软雅黑"/>
          <w:bCs/>
          <w:szCs w:val="21"/>
        </w:rPr>
        <w:t>的合</w:t>
      </w:r>
      <w:r>
        <w:rPr>
          <w:rFonts w:ascii="微软雅黑" w:eastAsia="微软雅黑" w:hAnsi="微软雅黑" w:hint="eastAsia"/>
          <w:bCs/>
          <w:szCs w:val="21"/>
        </w:rPr>
        <w:t>作伙伴，</w:t>
      </w:r>
      <w:r>
        <w:rPr>
          <w:rFonts w:ascii="微软雅黑" w:eastAsia="微软雅黑" w:hAnsi="微软雅黑" w:hint="eastAsia"/>
          <w:b/>
          <w:szCs w:val="21"/>
        </w:rPr>
        <w:t>融入线上线下场景</w:t>
      </w:r>
      <w:r>
        <w:rPr>
          <w:rFonts w:ascii="微软雅黑" w:eastAsia="微软雅黑" w:hAnsi="微软雅黑" w:hint="eastAsia"/>
          <w:bCs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通过小米营销平台大数据定向及技术应用，聚焦目标受众群体，同时整合小米的矩阵资源及转化链路优化，实现品牌传播的同时进行有效转化，从而达到品牌曝光和</w:t>
      </w:r>
      <w:proofErr w:type="gramStart"/>
      <w:r>
        <w:rPr>
          <w:rFonts w:ascii="微软雅黑" w:eastAsia="微软雅黑" w:hAnsi="微软雅黑" w:hint="eastAsia"/>
          <w:b/>
          <w:szCs w:val="21"/>
        </w:rPr>
        <w:t>客群</w:t>
      </w:r>
      <w:proofErr w:type="gramEnd"/>
      <w:r>
        <w:rPr>
          <w:rFonts w:ascii="微软雅黑" w:eastAsia="微软雅黑" w:hAnsi="微软雅黑" w:hint="eastAsia"/>
          <w:b/>
          <w:szCs w:val="21"/>
        </w:rPr>
        <w:t>引流。</w:t>
      </w:r>
    </w:p>
    <w:p w14:paraId="49CAD721" w14:textId="77777777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【执行亮点】</w:t>
      </w:r>
    </w:p>
    <w:p w14:paraId="05ABDDD7" w14:textId="77777777" w:rsidR="00BC2146" w:rsidRDefault="004266F8" w:rsidP="007F7564">
      <w:pPr>
        <w:pStyle w:val="af2"/>
        <w:numPr>
          <w:ilvl w:val="0"/>
          <w:numId w:val="3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1</w:t>
      </w:r>
      <w:r>
        <w:rPr>
          <w:rFonts w:ascii="微软雅黑" w:eastAsia="微软雅黑" w:hAnsi="微软雅黑" w:hint="eastAsia"/>
          <w:b/>
          <w:szCs w:val="21"/>
        </w:rPr>
        <w:t>——</w:t>
      </w:r>
      <w:r>
        <w:rPr>
          <w:rFonts w:ascii="微软雅黑" w:eastAsia="微软雅黑" w:hAnsi="微软雅黑" w:hint="eastAsia"/>
          <w:b/>
          <w:szCs w:val="21"/>
        </w:rPr>
        <w:t>在核心圈层用户下锁定垂直用户，找到</w:t>
      </w:r>
      <w:r>
        <w:rPr>
          <w:rFonts w:ascii="微软雅黑" w:eastAsia="微软雅黑" w:hAnsi="微软雅黑" w:hint="eastAsia"/>
          <w:b/>
          <w:szCs w:val="21"/>
        </w:rPr>
        <w:t>符合活动主题的绝佳载体</w:t>
      </w:r>
    </w:p>
    <w:p w14:paraId="2D6A3435" w14:textId="77777777" w:rsidR="00BC2146" w:rsidRDefault="004266F8" w:rsidP="007F7564">
      <w:pPr>
        <w:pStyle w:val="af2"/>
        <w:numPr>
          <w:ilvl w:val="0"/>
          <w:numId w:val="4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Cs/>
          <w:szCs w:val="21"/>
        </w:rPr>
        <w:t>基于浦惠到家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与小米的深度合作下，针对当下疫情热点，结合小米运动打造极具正能量的运动主题活动。小米运动</w:t>
      </w:r>
      <w:r>
        <w:rPr>
          <w:rFonts w:ascii="微软雅黑" w:eastAsia="微软雅黑" w:hAnsi="微软雅黑" w:hint="eastAsia"/>
          <w:bCs/>
          <w:szCs w:val="21"/>
        </w:rPr>
        <w:t>APP</w:t>
      </w:r>
      <w:r>
        <w:rPr>
          <w:rFonts w:ascii="微软雅黑" w:eastAsia="微软雅黑" w:hAnsi="微软雅黑" w:hint="eastAsia"/>
          <w:bCs/>
          <w:szCs w:val="21"/>
        </w:rPr>
        <w:t>是米粉关注健康信息的重要</w:t>
      </w:r>
      <w:r>
        <w:rPr>
          <w:rFonts w:ascii="微软雅黑" w:eastAsia="微软雅黑" w:hAnsi="微软雅黑" w:hint="eastAsia"/>
          <w:bCs/>
          <w:szCs w:val="21"/>
        </w:rPr>
        <w:t>APP</w:t>
      </w:r>
      <w:r>
        <w:rPr>
          <w:rFonts w:ascii="微软雅黑" w:eastAsia="微软雅黑" w:hAnsi="微软雅黑" w:hint="eastAsia"/>
          <w:bCs/>
          <w:szCs w:val="21"/>
        </w:rPr>
        <w:t>，具有上亿的注册用户数，与本次“冬季运动‘惠’”主题活动高度吻合，是承载本次活动的绝佳载体；</w:t>
      </w:r>
    </w:p>
    <w:p w14:paraId="5E61AA72" w14:textId="77777777" w:rsidR="00BC2146" w:rsidRDefault="004266F8" w:rsidP="007F7564">
      <w:pPr>
        <w:pStyle w:val="af2"/>
        <w:numPr>
          <w:ilvl w:val="0"/>
          <w:numId w:val="5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2</w:t>
      </w:r>
      <w:r>
        <w:rPr>
          <w:rFonts w:ascii="微软雅黑" w:eastAsia="微软雅黑" w:hAnsi="微软雅黑" w:hint="eastAsia"/>
          <w:b/>
          <w:szCs w:val="21"/>
        </w:rPr>
        <w:t>——多场景</w:t>
      </w:r>
      <w:proofErr w:type="gramStart"/>
      <w:r>
        <w:rPr>
          <w:rFonts w:ascii="微软雅黑" w:eastAsia="微软雅黑" w:hAnsi="微软雅黑" w:hint="eastAsia"/>
          <w:b/>
          <w:szCs w:val="21"/>
        </w:rPr>
        <w:t>触达目标</w:t>
      </w:r>
      <w:proofErr w:type="gramEnd"/>
      <w:r>
        <w:rPr>
          <w:rFonts w:ascii="微软雅黑" w:eastAsia="微软雅黑" w:hAnsi="微软雅黑" w:hint="eastAsia"/>
          <w:b/>
          <w:szCs w:val="21"/>
        </w:rPr>
        <w:t>用户</w:t>
      </w:r>
    </w:p>
    <w:p w14:paraId="63D4C568" w14:textId="77777777" w:rsidR="00BC2146" w:rsidRDefault="004266F8" w:rsidP="007F7564">
      <w:pPr>
        <w:pStyle w:val="af2"/>
        <w:numPr>
          <w:ilvl w:val="0"/>
          <w:numId w:val="4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利用小米不同场景资源，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触达活动</w:t>
      </w:r>
      <w:proofErr w:type="gramEnd"/>
      <w:r>
        <w:rPr>
          <w:rFonts w:ascii="微软雅黑" w:eastAsia="微软雅黑" w:hAnsi="微软雅黑" w:hint="eastAsia"/>
          <w:bCs/>
          <w:szCs w:val="21"/>
        </w:rPr>
        <w:t>目标用户，为活动引流；</w:t>
      </w:r>
    </w:p>
    <w:p w14:paraId="74A6197E" w14:textId="77777777" w:rsidR="00BC2146" w:rsidRDefault="004266F8" w:rsidP="007F7564">
      <w:pPr>
        <w:pStyle w:val="af2"/>
        <w:numPr>
          <w:ilvl w:val="0"/>
          <w:numId w:val="6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3</w:t>
      </w:r>
      <w:r>
        <w:rPr>
          <w:rFonts w:ascii="微软雅黑" w:eastAsia="微软雅黑" w:hAnsi="微软雅黑" w:hint="eastAsia"/>
          <w:b/>
          <w:szCs w:val="21"/>
        </w:rPr>
        <w:t>——精准曝光目标用户抢关注</w:t>
      </w:r>
    </w:p>
    <w:p w14:paraId="232CFA80" w14:textId="77777777" w:rsidR="00BC2146" w:rsidRDefault="004266F8" w:rsidP="007F7564">
      <w:pPr>
        <w:pStyle w:val="af2"/>
        <w:numPr>
          <w:ilvl w:val="0"/>
          <w:numId w:val="4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Cs/>
          <w:szCs w:val="21"/>
        </w:rPr>
        <w:t>结合浦惠到家</w:t>
      </w:r>
      <w:proofErr w:type="gramEnd"/>
      <w:r>
        <w:rPr>
          <w:rFonts w:ascii="微软雅黑" w:eastAsia="微软雅黑" w:hAnsi="微软雅黑" w:hint="eastAsia"/>
          <w:bCs/>
          <w:szCs w:val="21"/>
        </w:rPr>
        <w:t>APP</w:t>
      </w:r>
      <w:r>
        <w:rPr>
          <w:rFonts w:ascii="微软雅黑" w:eastAsia="微软雅黑" w:hAnsi="微软雅黑" w:hint="eastAsia"/>
          <w:bCs/>
          <w:szCs w:val="21"/>
        </w:rPr>
        <w:t>用户在小米手机的应用行为、兴趣行为等数据，利用小米</w:t>
      </w:r>
      <w:r>
        <w:rPr>
          <w:rFonts w:ascii="微软雅黑" w:eastAsia="微软雅黑" w:hAnsi="微软雅黑" w:hint="eastAsia"/>
          <w:bCs/>
          <w:szCs w:val="21"/>
        </w:rPr>
        <w:t>DMP</w:t>
      </w:r>
      <w:r>
        <w:rPr>
          <w:rFonts w:ascii="微软雅黑" w:eastAsia="微软雅黑" w:hAnsi="微软雅黑" w:hint="eastAsia"/>
          <w:bCs/>
          <w:szCs w:val="21"/>
        </w:rPr>
        <w:t>平台</w:t>
      </w:r>
      <w:r>
        <w:rPr>
          <w:rFonts w:ascii="微软雅黑" w:eastAsia="微软雅黑" w:hAnsi="微软雅黑" w:hint="eastAsia"/>
          <w:bCs/>
          <w:szCs w:val="21"/>
        </w:rPr>
        <w:t>look</w:t>
      </w:r>
      <w:r>
        <w:rPr>
          <w:rFonts w:ascii="微软雅黑" w:eastAsia="微软雅黑" w:hAnsi="微软雅黑"/>
          <w:bCs/>
          <w:szCs w:val="21"/>
        </w:rPr>
        <w:t>alike</w:t>
      </w:r>
      <w:r>
        <w:rPr>
          <w:rFonts w:ascii="微软雅黑" w:eastAsia="微软雅黑" w:hAnsi="微软雅黑" w:hint="eastAsia"/>
          <w:bCs/>
          <w:szCs w:val="21"/>
        </w:rPr>
        <w:t>功能拓展相关用户，捕捉潜在人群，告知用户活动信息，提高活动参与度；</w:t>
      </w:r>
    </w:p>
    <w:p w14:paraId="0F92C091" w14:textId="77777777" w:rsidR="00BC2146" w:rsidRDefault="004266F8" w:rsidP="007F7564">
      <w:pPr>
        <w:pStyle w:val="af2"/>
        <w:numPr>
          <w:ilvl w:val="0"/>
          <w:numId w:val="6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——</w:t>
      </w:r>
      <w:proofErr w:type="gramStart"/>
      <w:r>
        <w:rPr>
          <w:rFonts w:ascii="微软雅黑" w:eastAsia="微软雅黑" w:hAnsi="微软雅黑" w:hint="eastAsia"/>
          <w:b/>
          <w:szCs w:val="21"/>
        </w:rPr>
        <w:t>品效合一</w:t>
      </w:r>
      <w:proofErr w:type="gramEnd"/>
      <w:r>
        <w:rPr>
          <w:rFonts w:ascii="微软雅黑" w:eastAsia="微软雅黑" w:hAnsi="微软雅黑" w:hint="eastAsia"/>
          <w:b/>
          <w:szCs w:val="21"/>
        </w:rPr>
        <w:t>，精准获客</w:t>
      </w:r>
    </w:p>
    <w:p w14:paraId="0BF239C5" w14:textId="77777777" w:rsidR="00BC2146" w:rsidRDefault="004266F8" w:rsidP="007F7564">
      <w:pPr>
        <w:pStyle w:val="af2"/>
        <w:numPr>
          <w:ilvl w:val="0"/>
          <w:numId w:val="4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运用小米营销平台大数据精准定向目标用户，通过小米运动</w:t>
      </w:r>
      <w:r>
        <w:rPr>
          <w:rFonts w:ascii="微软雅黑" w:eastAsia="微软雅黑" w:hAnsi="微软雅黑" w:hint="eastAsia"/>
          <w:bCs/>
          <w:szCs w:val="21"/>
        </w:rPr>
        <w:t>APP</w:t>
      </w:r>
      <w:r>
        <w:rPr>
          <w:rFonts w:ascii="微软雅黑" w:eastAsia="微软雅黑" w:hAnsi="微软雅黑" w:hint="eastAsia"/>
          <w:bCs/>
          <w:szCs w:val="21"/>
        </w:rPr>
        <w:t>的用户投放</w:t>
      </w:r>
      <w:proofErr w:type="spellStart"/>
      <w:r>
        <w:rPr>
          <w:rFonts w:ascii="微软雅黑" w:eastAsia="微软雅黑" w:hAnsi="微软雅黑" w:hint="eastAsia"/>
          <w:bCs/>
          <w:szCs w:val="21"/>
        </w:rPr>
        <w:t>dee</w:t>
      </w:r>
      <w:r>
        <w:rPr>
          <w:rFonts w:ascii="微软雅黑" w:eastAsia="微软雅黑" w:hAnsi="微软雅黑"/>
          <w:bCs/>
          <w:szCs w:val="21"/>
        </w:rPr>
        <w:t>plink</w:t>
      </w:r>
      <w:proofErr w:type="spellEnd"/>
      <w:r>
        <w:rPr>
          <w:rFonts w:ascii="微软雅黑" w:eastAsia="微软雅黑" w:hAnsi="微软雅黑" w:hint="eastAsia"/>
          <w:bCs/>
          <w:szCs w:val="21"/>
        </w:rPr>
        <w:t>，直接跳转</w:t>
      </w:r>
      <w:r>
        <w:rPr>
          <w:rFonts w:ascii="微软雅黑" w:eastAsia="微软雅黑" w:hAnsi="微软雅黑" w:hint="eastAsia"/>
          <w:bCs/>
          <w:szCs w:val="21"/>
        </w:rPr>
        <w:t>APP</w:t>
      </w:r>
      <w:r>
        <w:rPr>
          <w:rFonts w:ascii="微软雅黑" w:eastAsia="微软雅黑" w:hAnsi="微软雅黑" w:hint="eastAsia"/>
          <w:bCs/>
          <w:szCs w:val="21"/>
        </w:rPr>
        <w:t>站内的活动页，减少用户跳转步骤，降低用户流失率，</w:t>
      </w:r>
      <w:proofErr w:type="gramStart"/>
      <w:r>
        <w:rPr>
          <w:rFonts w:ascii="微软雅黑" w:eastAsia="微软雅黑" w:hAnsi="微软雅黑" w:hint="eastAsia"/>
          <w:bCs/>
          <w:szCs w:val="21"/>
        </w:rPr>
        <w:t>实现品效合一</w:t>
      </w:r>
      <w:proofErr w:type="gramEnd"/>
      <w:r>
        <w:rPr>
          <w:rFonts w:ascii="微软雅黑" w:eastAsia="微软雅黑" w:hAnsi="微软雅黑" w:hint="eastAsia"/>
          <w:bCs/>
          <w:szCs w:val="21"/>
        </w:rPr>
        <w:t>；</w:t>
      </w:r>
    </w:p>
    <w:p w14:paraId="669EEBCB" w14:textId="77777777" w:rsidR="00BC2146" w:rsidRDefault="004266F8" w:rsidP="007F7564">
      <w:pPr>
        <w:pStyle w:val="af2"/>
        <w:numPr>
          <w:ilvl w:val="0"/>
          <w:numId w:val="6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亮点</w:t>
      </w:r>
      <w:r>
        <w:rPr>
          <w:rFonts w:ascii="微软雅黑" w:eastAsia="微软雅黑" w:hAnsi="微软雅黑"/>
          <w:b/>
          <w:szCs w:val="21"/>
        </w:rPr>
        <w:t>5</w:t>
      </w:r>
      <w:r>
        <w:rPr>
          <w:rFonts w:ascii="微软雅黑" w:eastAsia="微软雅黑" w:hAnsi="微软雅黑" w:hint="eastAsia"/>
          <w:b/>
          <w:szCs w:val="21"/>
        </w:rPr>
        <w:t>——实现用户增长，破解银行线</w:t>
      </w:r>
      <w:proofErr w:type="gramStart"/>
      <w:r>
        <w:rPr>
          <w:rFonts w:ascii="微软雅黑" w:eastAsia="微软雅黑" w:hAnsi="微软雅黑" w:hint="eastAsia"/>
          <w:b/>
          <w:szCs w:val="21"/>
        </w:rPr>
        <w:t>上获客困境</w:t>
      </w:r>
      <w:proofErr w:type="gramEnd"/>
    </w:p>
    <w:p w14:paraId="235029CB" w14:textId="6F992B2A" w:rsidR="00BC2146" w:rsidRPr="007F7564" w:rsidRDefault="004266F8" w:rsidP="007F7564">
      <w:pPr>
        <w:pStyle w:val="af2"/>
        <w:numPr>
          <w:ilvl w:val="0"/>
          <w:numId w:val="4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 w:hint="eastAsia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以场景赋能，破解传统</w:t>
      </w:r>
      <w:proofErr w:type="gramStart"/>
      <w:r>
        <w:rPr>
          <w:rFonts w:ascii="微软雅黑" w:eastAsia="微软雅黑" w:hAnsi="微软雅黑" w:hint="eastAsia"/>
          <w:bCs/>
          <w:szCs w:val="21"/>
        </w:rPr>
        <w:t>银行拓客与</w:t>
      </w:r>
      <w:proofErr w:type="gramEnd"/>
      <w:r>
        <w:rPr>
          <w:rFonts w:ascii="微软雅黑" w:eastAsia="微软雅黑" w:hAnsi="微软雅黑" w:hint="eastAsia"/>
          <w:bCs/>
          <w:szCs w:val="21"/>
        </w:rPr>
        <w:t>留客的焦虑，实现金融机构数字化转型。</w:t>
      </w:r>
    </w:p>
    <w:p w14:paraId="556013CE" w14:textId="77777777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【执行效果】</w:t>
      </w:r>
    </w:p>
    <w:p w14:paraId="1E12FBE3" w14:textId="6219ED3B" w:rsidR="00BC2146" w:rsidRDefault="004266F8" w:rsidP="007F7564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本次营销活动</w:t>
      </w:r>
      <w:proofErr w:type="gramStart"/>
      <w:r>
        <w:rPr>
          <w:rFonts w:ascii="微软雅黑" w:eastAsia="微软雅黑" w:hAnsi="微软雅黑" w:hint="eastAsia"/>
          <w:szCs w:val="21"/>
        </w:rPr>
        <w:t>是浦惠到家</w:t>
      </w:r>
      <w:proofErr w:type="gramEnd"/>
      <w:r>
        <w:rPr>
          <w:rFonts w:ascii="微软雅黑" w:eastAsia="微软雅黑" w:hAnsi="微软雅黑" w:hint="eastAsia"/>
          <w:szCs w:val="21"/>
        </w:rPr>
        <w:t>和小米运动深耕米粉及关注运动</w:t>
      </w:r>
      <w:proofErr w:type="gramStart"/>
      <w:r>
        <w:rPr>
          <w:rFonts w:ascii="微软雅黑" w:eastAsia="微软雅黑" w:hAnsi="微软雅黑" w:hint="eastAsia"/>
          <w:szCs w:val="21"/>
        </w:rPr>
        <w:t>健康客</w:t>
      </w:r>
      <w:proofErr w:type="gramEnd"/>
      <w:r>
        <w:rPr>
          <w:rFonts w:ascii="微软雅黑" w:eastAsia="微软雅黑" w:hAnsi="微软雅黑" w:hint="eastAsia"/>
          <w:szCs w:val="21"/>
        </w:rPr>
        <w:t>群的一次有力实践，借助疫情健康热点话题，提出热爱生活、关注健康的传播概念，</w:t>
      </w:r>
      <w:r>
        <w:rPr>
          <w:rFonts w:ascii="微软雅黑" w:eastAsia="微软雅黑" w:hAnsi="微软雅黑" w:hint="eastAsia"/>
          <w:bCs/>
          <w:szCs w:val="21"/>
        </w:rPr>
        <w:t>传达和深化“惠生活，更会生活”的品牌主张，</w:t>
      </w:r>
      <w:r>
        <w:rPr>
          <w:rFonts w:ascii="微软雅黑" w:eastAsia="微软雅黑" w:hAnsi="微软雅黑" w:hint="eastAsia"/>
          <w:szCs w:val="21"/>
        </w:rPr>
        <w:t>呼吁全民运动，鼓励用户提倡健康生活，了解并使用</w:t>
      </w:r>
      <w:proofErr w:type="gramStart"/>
      <w:r>
        <w:rPr>
          <w:rFonts w:ascii="微软雅黑" w:eastAsia="微软雅黑" w:hAnsi="微软雅黑" w:hint="eastAsia"/>
          <w:szCs w:val="21"/>
        </w:rPr>
        <w:t>浦惠到家以</w:t>
      </w:r>
      <w:proofErr w:type="gramEnd"/>
      <w:r>
        <w:rPr>
          <w:rFonts w:ascii="微软雅黑" w:eastAsia="微软雅黑" w:hAnsi="微软雅黑" w:hint="eastAsia"/>
          <w:szCs w:val="21"/>
        </w:rPr>
        <w:t>分享健康生活。</w:t>
      </w:r>
      <w:r>
        <w:rPr>
          <w:rFonts w:ascii="微软雅黑" w:eastAsia="微软雅黑" w:hAnsi="微软雅黑" w:hint="eastAsia"/>
          <w:b/>
          <w:bCs/>
          <w:szCs w:val="21"/>
        </w:rPr>
        <w:t>通过</w:t>
      </w:r>
      <w:r>
        <w:rPr>
          <w:rFonts w:ascii="微软雅黑" w:eastAsia="微软雅黑" w:hAnsi="微软雅黑"/>
          <w:b/>
          <w:bCs/>
          <w:szCs w:val="21"/>
        </w:rPr>
        <w:t>多场景的媒介渠道助力品牌</w:t>
      </w:r>
      <w:r>
        <w:rPr>
          <w:rFonts w:ascii="微软雅黑" w:eastAsia="微软雅黑" w:hAnsi="微软雅黑" w:hint="eastAsia"/>
          <w:b/>
          <w:bCs/>
          <w:szCs w:val="21"/>
        </w:rPr>
        <w:t>曝光，提升销量，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实现品效合一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，破解传统银行线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上获客困境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。</w:t>
      </w:r>
    </w:p>
    <w:p w14:paraId="595602E3" w14:textId="77777777" w:rsidR="00BC2146" w:rsidRDefault="004266F8" w:rsidP="007F7564">
      <w:pPr>
        <w:pStyle w:val="af2"/>
        <w:numPr>
          <w:ilvl w:val="0"/>
          <w:numId w:val="7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本次项目提高了用户对品牌的关注度，覆盖了</w:t>
      </w:r>
      <w:r>
        <w:rPr>
          <w:rFonts w:ascii="微软雅黑" w:eastAsia="微软雅黑" w:hAnsi="微软雅黑"/>
          <w:szCs w:val="21"/>
        </w:rPr>
        <w:t>18-50</w:t>
      </w:r>
      <w:r>
        <w:rPr>
          <w:rFonts w:ascii="微软雅黑" w:eastAsia="微软雅黑" w:hAnsi="微软雅黑"/>
          <w:szCs w:val="21"/>
        </w:rPr>
        <w:t>岁</w:t>
      </w:r>
      <w:r>
        <w:rPr>
          <w:rFonts w:ascii="微软雅黑" w:eastAsia="微软雅黑" w:hAnsi="微软雅黑" w:hint="eastAsia"/>
          <w:szCs w:val="21"/>
        </w:rPr>
        <w:t>的米粉及</w:t>
      </w:r>
      <w:r>
        <w:rPr>
          <w:rFonts w:ascii="微软雅黑" w:eastAsia="微软雅黑" w:hAnsi="微软雅黑"/>
          <w:szCs w:val="21"/>
        </w:rPr>
        <w:t>具有电</w:t>
      </w:r>
      <w:proofErr w:type="gramStart"/>
      <w:r>
        <w:rPr>
          <w:rFonts w:ascii="微软雅黑" w:eastAsia="微软雅黑" w:hAnsi="微软雅黑"/>
          <w:szCs w:val="21"/>
        </w:rPr>
        <w:t>商购物行为</w:t>
      </w:r>
      <w:proofErr w:type="gramEnd"/>
      <w:r>
        <w:rPr>
          <w:rFonts w:ascii="微软雅黑" w:eastAsia="微软雅黑" w:hAnsi="微软雅黑"/>
          <w:szCs w:val="21"/>
        </w:rPr>
        <w:t>的用户</w:t>
      </w:r>
      <w:r>
        <w:rPr>
          <w:rFonts w:ascii="微软雅黑" w:eastAsia="微软雅黑" w:hAnsi="微软雅黑" w:hint="eastAsia"/>
          <w:szCs w:val="21"/>
        </w:rPr>
        <w:t>群体，在常规投放期间，获得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03</w:t>
      </w:r>
      <w:r>
        <w:rPr>
          <w:rFonts w:ascii="微软雅黑" w:eastAsia="微软雅黑" w:hAnsi="微软雅黑" w:hint="eastAsia"/>
          <w:szCs w:val="21"/>
        </w:rPr>
        <w:t>万的点击量及</w:t>
      </w: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万的用户注册量；</w:t>
      </w:r>
    </w:p>
    <w:p w14:paraId="53B9ACFC" w14:textId="77777777" w:rsidR="00BC2146" w:rsidRDefault="004266F8" w:rsidP="007F7564">
      <w:pPr>
        <w:pStyle w:val="af2"/>
        <w:numPr>
          <w:ilvl w:val="0"/>
          <w:numId w:val="7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在互动活动爆发期间，获得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/>
          <w:szCs w:val="21"/>
        </w:rPr>
        <w:t>09</w:t>
      </w:r>
      <w:r>
        <w:rPr>
          <w:rFonts w:ascii="微软雅黑" w:eastAsia="微软雅黑" w:hAnsi="微软雅黑" w:hint="eastAsia"/>
          <w:szCs w:val="21"/>
        </w:rPr>
        <w:t>万的点击量及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万的注册量，相比</w:t>
      </w:r>
      <w:r>
        <w:rPr>
          <w:rFonts w:ascii="微软雅黑" w:eastAsia="微软雅黑" w:hAnsi="微软雅黑"/>
          <w:szCs w:val="21"/>
        </w:rPr>
        <w:t>常规投放时期订单转化率提升</w:t>
      </w:r>
      <w:r>
        <w:rPr>
          <w:rFonts w:ascii="微软雅黑" w:eastAsia="微软雅黑" w:hAnsi="微软雅黑"/>
          <w:szCs w:val="21"/>
        </w:rPr>
        <w:t>15%</w:t>
      </w:r>
      <w:r>
        <w:rPr>
          <w:rFonts w:ascii="微软雅黑" w:eastAsia="微软雅黑" w:hAnsi="微软雅黑" w:hint="eastAsia"/>
          <w:szCs w:val="21"/>
        </w:rPr>
        <w:t>；</w:t>
      </w:r>
    </w:p>
    <w:p w14:paraId="241AE1F1" w14:textId="10EB5B6D" w:rsidR="00BC2146" w:rsidRPr="007F7564" w:rsidRDefault="004266F8" w:rsidP="007F7564">
      <w:pPr>
        <w:pStyle w:val="af2"/>
        <w:numPr>
          <w:ilvl w:val="0"/>
          <w:numId w:val="7"/>
        </w:numPr>
        <w:spacing w:before="100" w:beforeAutospacing="1" w:after="100" w:afterAutospacing="1"/>
        <w:ind w:left="0" w:firstLineChars="0" w:firstLine="0"/>
        <w:jc w:val="left"/>
        <w:textAlignment w:val="baseline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本次项目通过“步数打卡”的互动形式成功调动用户的参与度，在受众积极的参与下，本次活动所准备的</w:t>
      </w: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445</w:t>
      </w:r>
      <w:r>
        <w:rPr>
          <w:rFonts w:ascii="微软雅黑" w:eastAsia="微软雅黑" w:hAnsi="微软雅黑" w:hint="eastAsia"/>
          <w:szCs w:val="21"/>
        </w:rPr>
        <w:t>个小米手表在活动前三天就全部赠送完毕；</w:t>
      </w:r>
    </w:p>
    <w:p w14:paraId="578B1DAE" w14:textId="51A995A5" w:rsidR="00BC2146" w:rsidRPr="00850013" w:rsidRDefault="004266F8" w:rsidP="00850013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项目对目标消费者的精准触达，助力</w:t>
      </w:r>
      <w:proofErr w:type="gramStart"/>
      <w:r>
        <w:rPr>
          <w:rFonts w:ascii="微软雅黑" w:eastAsia="微软雅黑" w:hAnsi="微软雅黑" w:hint="eastAsia"/>
          <w:szCs w:val="21"/>
        </w:rPr>
        <w:t>了浦惠到家</w:t>
      </w:r>
      <w:proofErr w:type="gramEnd"/>
      <w:r>
        <w:rPr>
          <w:rFonts w:ascii="微软雅黑" w:eastAsia="微软雅黑" w:hAnsi="微软雅黑" w:hint="eastAsia"/>
          <w:szCs w:val="21"/>
        </w:rPr>
        <w:t>的销量增长。客户对于本次与小米运动的合作成果表示非常满意，并</w:t>
      </w:r>
      <w:r>
        <w:rPr>
          <w:rFonts w:ascii="微软雅黑" w:eastAsia="微软雅黑" w:hAnsi="微软雅黑" w:hint="eastAsia"/>
          <w:b/>
          <w:bCs/>
          <w:szCs w:val="21"/>
        </w:rPr>
        <w:t>将于</w:t>
      </w:r>
      <w:r>
        <w:rPr>
          <w:rFonts w:ascii="微软雅黑" w:eastAsia="微软雅黑" w:hAnsi="微软雅黑" w:hint="eastAsia"/>
          <w:b/>
          <w:bCs/>
          <w:szCs w:val="21"/>
        </w:rPr>
        <w:t>2</w:t>
      </w:r>
      <w:r>
        <w:rPr>
          <w:rFonts w:ascii="微软雅黑" w:eastAsia="微软雅黑" w:hAnsi="微软雅黑"/>
          <w:b/>
          <w:bCs/>
          <w:szCs w:val="21"/>
        </w:rPr>
        <w:t>021</w:t>
      </w:r>
      <w:r>
        <w:rPr>
          <w:rFonts w:ascii="微软雅黑" w:eastAsia="微软雅黑" w:hAnsi="微软雅黑" w:hint="eastAsia"/>
          <w:b/>
          <w:bCs/>
          <w:szCs w:val="21"/>
        </w:rPr>
        <w:t>年扩大</w:t>
      </w:r>
      <w:r>
        <w:rPr>
          <w:rFonts w:ascii="微软雅黑" w:eastAsia="微软雅黑" w:hAnsi="微软雅黑" w:hint="eastAsia"/>
          <w:b/>
          <w:bCs/>
          <w:szCs w:val="21"/>
        </w:rPr>
        <w:t>4</w:t>
      </w:r>
      <w:r>
        <w:rPr>
          <w:rFonts w:ascii="微软雅黑" w:eastAsia="微软雅黑" w:hAnsi="微软雅黑"/>
          <w:b/>
          <w:bCs/>
          <w:szCs w:val="21"/>
        </w:rPr>
        <w:t>5%</w:t>
      </w:r>
      <w:r>
        <w:rPr>
          <w:rFonts w:ascii="微软雅黑" w:eastAsia="微软雅黑" w:hAnsi="微软雅黑" w:hint="eastAsia"/>
          <w:b/>
          <w:bCs/>
          <w:szCs w:val="21"/>
        </w:rPr>
        <w:t>的投入预算</w:t>
      </w:r>
      <w:r>
        <w:rPr>
          <w:rFonts w:ascii="微软雅黑" w:eastAsia="微软雅黑" w:hAnsi="微软雅黑" w:hint="eastAsia"/>
          <w:szCs w:val="21"/>
        </w:rPr>
        <w:t>。通过</w:t>
      </w:r>
      <w:proofErr w:type="gramStart"/>
      <w:r>
        <w:rPr>
          <w:rFonts w:ascii="微软雅黑" w:eastAsia="微软雅黑" w:hAnsi="微软雅黑" w:hint="eastAsia"/>
          <w:szCs w:val="21"/>
        </w:rPr>
        <w:t>本次浦惠到家</w:t>
      </w:r>
      <w:proofErr w:type="gramEnd"/>
      <w:r>
        <w:rPr>
          <w:rFonts w:ascii="微软雅黑" w:eastAsia="微软雅黑" w:hAnsi="微软雅黑" w:hint="eastAsia"/>
          <w:szCs w:val="21"/>
        </w:rPr>
        <w:t>与小米运动的成功合作，为</w:t>
      </w:r>
      <w:r>
        <w:rPr>
          <w:rFonts w:ascii="微软雅黑" w:eastAsia="微软雅黑" w:hAnsi="微软雅黑" w:hint="eastAsia"/>
          <w:b/>
          <w:bCs/>
          <w:szCs w:val="21"/>
        </w:rPr>
        <w:t>传统银行寻找到了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破解线上获客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的突围之路</w:t>
      </w:r>
      <w:r>
        <w:rPr>
          <w:rFonts w:ascii="微软雅黑" w:eastAsia="微软雅黑" w:hAnsi="微软雅黑" w:hint="eastAsia"/>
          <w:szCs w:val="21"/>
        </w:rPr>
        <w:t>。为此，</w:t>
      </w:r>
      <w:r>
        <w:rPr>
          <w:rFonts w:ascii="微软雅黑" w:eastAsia="微软雅黑" w:hAnsi="微软雅黑" w:hint="eastAsia"/>
          <w:b/>
          <w:bCs/>
          <w:szCs w:val="21"/>
        </w:rPr>
        <w:t>将本次案例固化为传统客户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的经典营销手法，形成一套专为传统银行客户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解决线上获客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>困境的营销打法。</w:t>
      </w:r>
    </w:p>
    <w:sectPr w:rsidR="00BC2146" w:rsidRPr="00850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20" w:right="1196" w:bottom="624" w:left="1701" w:header="468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36FA" w14:textId="77777777" w:rsidR="004266F8" w:rsidRDefault="004266F8">
      <w:r>
        <w:separator/>
      </w:r>
    </w:p>
  </w:endnote>
  <w:endnote w:type="continuationSeparator" w:id="0">
    <w:p w14:paraId="376AEBE1" w14:textId="77777777" w:rsidR="004266F8" w:rsidRDefault="0042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D1D5" w14:textId="77777777" w:rsidR="00BC2146" w:rsidRDefault="004266F8">
    <w:pPr>
      <w:pStyle w:val="a9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1</w:t>
    </w:r>
    <w:r>
      <w:fldChar w:fldCharType="end"/>
    </w:r>
  </w:p>
  <w:p w14:paraId="36D3D0A4" w14:textId="77777777" w:rsidR="00BC2146" w:rsidRDefault="00BC214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C274" w14:textId="77777777" w:rsidR="00BC2146" w:rsidRDefault="00BC2146">
    <w:pPr>
      <w:pStyle w:val="a9"/>
      <w:framePr w:wrap="around" w:vAnchor="text" w:hAnchor="margin" w:xAlign="right" w:y="1"/>
      <w:rPr>
        <w:rStyle w:val="af"/>
      </w:rPr>
    </w:pPr>
  </w:p>
  <w:p w14:paraId="0ABAA918" w14:textId="77777777" w:rsidR="00BC2146" w:rsidRDefault="00BC21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ACE4" w14:textId="77777777" w:rsidR="004266F8" w:rsidRDefault="004266F8">
      <w:r>
        <w:separator/>
      </w:r>
    </w:p>
  </w:footnote>
  <w:footnote w:type="continuationSeparator" w:id="0">
    <w:p w14:paraId="556B2ED5" w14:textId="77777777" w:rsidR="004266F8" w:rsidRDefault="0042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14CE" w14:textId="77777777" w:rsidR="00BC2146" w:rsidRDefault="00BC21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A73E7" w14:textId="77777777" w:rsidR="00BC2146" w:rsidRDefault="004266F8">
    <w:pPr>
      <w:pStyle w:val="aa"/>
      <w:jc w:val="both"/>
      <w:rPr>
        <w:rFonts w:ascii="微软雅黑" w:eastAsia="微软雅黑" w:hAnsi="微软雅黑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30BFCE8B" wp14:editId="4963831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D98C1" w14:textId="77777777" w:rsidR="00BC2146" w:rsidRDefault="00BC21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E27"/>
    <w:multiLevelType w:val="multilevel"/>
    <w:tmpl w:val="02674E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A1EE4"/>
    <w:multiLevelType w:val="multilevel"/>
    <w:tmpl w:val="3C0A1E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71BE0"/>
    <w:multiLevelType w:val="multilevel"/>
    <w:tmpl w:val="3CF71B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A6AB9"/>
    <w:multiLevelType w:val="multilevel"/>
    <w:tmpl w:val="3E9A6AB9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B575B6A"/>
    <w:multiLevelType w:val="multilevel"/>
    <w:tmpl w:val="5B575B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0A7BFD"/>
    <w:multiLevelType w:val="multilevel"/>
    <w:tmpl w:val="5E0A7B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F0726E"/>
    <w:multiLevelType w:val="multilevel"/>
    <w:tmpl w:val="70F072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9D"/>
    <w:rsid w:val="0001090B"/>
    <w:rsid w:val="000134E5"/>
    <w:rsid w:val="000415DF"/>
    <w:rsid w:val="00044F04"/>
    <w:rsid w:val="000532E1"/>
    <w:rsid w:val="00056791"/>
    <w:rsid w:val="0006079A"/>
    <w:rsid w:val="000631F9"/>
    <w:rsid w:val="00071CE5"/>
    <w:rsid w:val="00077EC5"/>
    <w:rsid w:val="000832F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27F4"/>
    <w:rsid w:val="00183D4F"/>
    <w:rsid w:val="00184006"/>
    <w:rsid w:val="0018632F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5543"/>
    <w:rsid w:val="00215F48"/>
    <w:rsid w:val="00217BD9"/>
    <w:rsid w:val="00220884"/>
    <w:rsid w:val="0022117C"/>
    <w:rsid w:val="0023082E"/>
    <w:rsid w:val="00232662"/>
    <w:rsid w:val="00242F41"/>
    <w:rsid w:val="00250580"/>
    <w:rsid w:val="00252186"/>
    <w:rsid w:val="00253125"/>
    <w:rsid w:val="00255B1F"/>
    <w:rsid w:val="002707E7"/>
    <w:rsid w:val="00270EF0"/>
    <w:rsid w:val="002712AF"/>
    <w:rsid w:val="00274F8A"/>
    <w:rsid w:val="00290073"/>
    <w:rsid w:val="00290500"/>
    <w:rsid w:val="0029434E"/>
    <w:rsid w:val="002A004E"/>
    <w:rsid w:val="002B0CDA"/>
    <w:rsid w:val="002E436F"/>
    <w:rsid w:val="002E5914"/>
    <w:rsid w:val="002F2AF3"/>
    <w:rsid w:val="002F3574"/>
    <w:rsid w:val="002F7E7A"/>
    <w:rsid w:val="00300052"/>
    <w:rsid w:val="003056B8"/>
    <w:rsid w:val="00311DCD"/>
    <w:rsid w:val="003121E8"/>
    <w:rsid w:val="00317BD4"/>
    <w:rsid w:val="00320B24"/>
    <w:rsid w:val="00334623"/>
    <w:rsid w:val="00361FEC"/>
    <w:rsid w:val="00362043"/>
    <w:rsid w:val="00365EA3"/>
    <w:rsid w:val="00371D9E"/>
    <w:rsid w:val="00371F8B"/>
    <w:rsid w:val="00372083"/>
    <w:rsid w:val="00386E93"/>
    <w:rsid w:val="0039538D"/>
    <w:rsid w:val="003A2FD7"/>
    <w:rsid w:val="003A3097"/>
    <w:rsid w:val="003A3802"/>
    <w:rsid w:val="003C3B26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266F8"/>
    <w:rsid w:val="00435325"/>
    <w:rsid w:val="00443C7A"/>
    <w:rsid w:val="004452BA"/>
    <w:rsid w:val="00451221"/>
    <w:rsid w:val="004555F7"/>
    <w:rsid w:val="00462CFD"/>
    <w:rsid w:val="00465CC4"/>
    <w:rsid w:val="00470C6C"/>
    <w:rsid w:val="0048122B"/>
    <w:rsid w:val="00484916"/>
    <w:rsid w:val="004861A7"/>
    <w:rsid w:val="0048758B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6203F"/>
    <w:rsid w:val="005652CE"/>
    <w:rsid w:val="00567477"/>
    <w:rsid w:val="0057565D"/>
    <w:rsid w:val="0058033D"/>
    <w:rsid w:val="00581F7F"/>
    <w:rsid w:val="00582F7D"/>
    <w:rsid w:val="005A539D"/>
    <w:rsid w:val="005A56AE"/>
    <w:rsid w:val="005A697D"/>
    <w:rsid w:val="005B0959"/>
    <w:rsid w:val="005B2564"/>
    <w:rsid w:val="005B6389"/>
    <w:rsid w:val="005C011B"/>
    <w:rsid w:val="005C6F4D"/>
    <w:rsid w:val="005D5D19"/>
    <w:rsid w:val="005D614B"/>
    <w:rsid w:val="005D77D7"/>
    <w:rsid w:val="005E4E84"/>
    <w:rsid w:val="005F2787"/>
    <w:rsid w:val="006126FE"/>
    <w:rsid w:val="00613CE9"/>
    <w:rsid w:val="00632502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53753"/>
    <w:rsid w:val="007538EE"/>
    <w:rsid w:val="00787A78"/>
    <w:rsid w:val="00795109"/>
    <w:rsid w:val="007A0451"/>
    <w:rsid w:val="007B2D27"/>
    <w:rsid w:val="007B5A52"/>
    <w:rsid w:val="007B61C2"/>
    <w:rsid w:val="007C0828"/>
    <w:rsid w:val="007C3F70"/>
    <w:rsid w:val="007C4C7A"/>
    <w:rsid w:val="007D5451"/>
    <w:rsid w:val="007D76B6"/>
    <w:rsid w:val="007F6422"/>
    <w:rsid w:val="007F7564"/>
    <w:rsid w:val="00813515"/>
    <w:rsid w:val="008159A4"/>
    <w:rsid w:val="00820C09"/>
    <w:rsid w:val="00822325"/>
    <w:rsid w:val="0082426A"/>
    <w:rsid w:val="00825032"/>
    <w:rsid w:val="00850013"/>
    <w:rsid w:val="0085738D"/>
    <w:rsid w:val="008612D4"/>
    <w:rsid w:val="008674D7"/>
    <w:rsid w:val="00880022"/>
    <w:rsid w:val="00891CAC"/>
    <w:rsid w:val="008A1E2D"/>
    <w:rsid w:val="008C2693"/>
    <w:rsid w:val="008F2CAF"/>
    <w:rsid w:val="00902EA3"/>
    <w:rsid w:val="0090431A"/>
    <w:rsid w:val="009076EA"/>
    <w:rsid w:val="00911F7D"/>
    <w:rsid w:val="00913B2E"/>
    <w:rsid w:val="00915DD8"/>
    <w:rsid w:val="009205FC"/>
    <w:rsid w:val="00921E57"/>
    <w:rsid w:val="00932225"/>
    <w:rsid w:val="00932353"/>
    <w:rsid w:val="00941499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B1B5B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E2C"/>
    <w:rsid w:val="00AE7F81"/>
    <w:rsid w:val="00B03587"/>
    <w:rsid w:val="00B05B17"/>
    <w:rsid w:val="00B06504"/>
    <w:rsid w:val="00B33BB2"/>
    <w:rsid w:val="00B35B50"/>
    <w:rsid w:val="00B36BD0"/>
    <w:rsid w:val="00B413D5"/>
    <w:rsid w:val="00B54EBC"/>
    <w:rsid w:val="00B65F3F"/>
    <w:rsid w:val="00B71E01"/>
    <w:rsid w:val="00B81738"/>
    <w:rsid w:val="00B925C8"/>
    <w:rsid w:val="00B93BD6"/>
    <w:rsid w:val="00B93E3B"/>
    <w:rsid w:val="00BA0329"/>
    <w:rsid w:val="00BB0E07"/>
    <w:rsid w:val="00BB1A99"/>
    <w:rsid w:val="00BC0390"/>
    <w:rsid w:val="00BC1804"/>
    <w:rsid w:val="00BC2146"/>
    <w:rsid w:val="00BD3543"/>
    <w:rsid w:val="00BD741B"/>
    <w:rsid w:val="00BD7FD3"/>
    <w:rsid w:val="00BF6726"/>
    <w:rsid w:val="00C00168"/>
    <w:rsid w:val="00C04E7B"/>
    <w:rsid w:val="00C078EC"/>
    <w:rsid w:val="00C11650"/>
    <w:rsid w:val="00C171FB"/>
    <w:rsid w:val="00C27CF2"/>
    <w:rsid w:val="00C40E03"/>
    <w:rsid w:val="00C4793D"/>
    <w:rsid w:val="00C5015C"/>
    <w:rsid w:val="00C516C8"/>
    <w:rsid w:val="00C64FC2"/>
    <w:rsid w:val="00C653FB"/>
    <w:rsid w:val="00C657FA"/>
    <w:rsid w:val="00C73B42"/>
    <w:rsid w:val="00C84C6B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55AC"/>
    <w:rsid w:val="00D131B0"/>
    <w:rsid w:val="00D13BC3"/>
    <w:rsid w:val="00D14F03"/>
    <w:rsid w:val="00D409BB"/>
    <w:rsid w:val="00D448B5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C397E"/>
    <w:rsid w:val="00DC3EBF"/>
    <w:rsid w:val="00DC3FCF"/>
    <w:rsid w:val="00DE55A8"/>
    <w:rsid w:val="00E004F9"/>
    <w:rsid w:val="00E10DBE"/>
    <w:rsid w:val="00E14A7D"/>
    <w:rsid w:val="00E23547"/>
    <w:rsid w:val="00E336C0"/>
    <w:rsid w:val="00E3510B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12133"/>
    <w:rsid w:val="00F22C99"/>
    <w:rsid w:val="00F35569"/>
    <w:rsid w:val="00F3618F"/>
    <w:rsid w:val="00F503C8"/>
    <w:rsid w:val="00F56689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579B"/>
    <w:rsid w:val="00FD7838"/>
    <w:rsid w:val="00FE1360"/>
    <w:rsid w:val="00FE70B2"/>
    <w:rsid w:val="00FF5039"/>
    <w:rsid w:val="01675AB5"/>
    <w:rsid w:val="112A6DD6"/>
    <w:rsid w:val="15345415"/>
    <w:rsid w:val="243401FE"/>
    <w:rsid w:val="2A066D69"/>
    <w:rsid w:val="43D87367"/>
    <w:rsid w:val="445F773C"/>
    <w:rsid w:val="5D5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EA43"/>
  <w15:docId w15:val="{1BE4784D-C104-4C99-B86B-534FB7B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a4">
    <w:name w:val="Plain Text"/>
    <w:basedOn w:val="a"/>
    <w:qFormat/>
    <w:pPr>
      <w:widowControl/>
      <w:jc w:val="left"/>
    </w:pPr>
    <w:rPr>
      <w:rFonts w:ascii="Arial" w:hAnsi="Arial"/>
      <w:kern w:val="0"/>
      <w:sz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a"/>
    <w:link w:val="ad"/>
    <w:qFormat/>
    <w:pPr>
      <w:widowControl/>
      <w:jc w:val="center"/>
    </w:pPr>
    <w:rPr>
      <w:b/>
      <w:sz w:val="28"/>
      <w:lang w:eastAsia="en-US"/>
    </w:r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qFormat/>
  </w:style>
  <w:style w:type="character" w:styleId="af0">
    <w:name w:val="Emphasis"/>
    <w:basedOn w:val="a0"/>
    <w:qFormat/>
    <w:rPr>
      <w:i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d">
    <w:name w:val="标题 字符"/>
    <w:basedOn w:val="a0"/>
    <w:link w:val="ac"/>
    <w:qFormat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  <w:qFormat/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css">
    <w:name w:val="css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af3">
    <w:name w:val="清單段落"/>
    <w:basedOn w:val="a"/>
    <w:qFormat/>
    <w:pPr>
      <w:ind w:left="7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ike.baidu.com/item/%E4%B8%8A%E6%B5%B7/114606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8%82%A1%E7%A5%A8%E4%BA%A4%E6%98%93/784921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A4D9A4-11F5-1D47-A64F-7FE4E5025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2424</Characters>
  <Application>Microsoft Office Word</Application>
  <DocSecurity>0</DocSecurity>
  <Lines>20</Lines>
  <Paragraphs>5</Paragraphs>
  <ScaleCrop>false</ScaleCrop>
  <Company>WWW.YlmF.CoM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Admin</cp:lastModifiedBy>
  <cp:revision>3</cp:revision>
  <cp:lastPrinted>2013-11-12T01:54:00Z</cp:lastPrinted>
  <dcterms:created xsi:type="dcterms:W3CDTF">2021-03-30T06:26:00Z</dcterms:created>
  <dcterms:modified xsi:type="dcterms:W3CDTF">2021-03-30T06:26:00Z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45651A3C2942428EB5E432F6CEB68B71</vt:lpwstr>
  </property>
</Properties>
</file>