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Hlk62049770"/>
      <w:bookmarkEnd w:id="0"/>
      <w:r>
        <w:rPr>
          <w:rFonts w:hint="eastAsia" w:ascii="微软雅黑" w:hAnsi="微软雅黑" w:eastAsia="微软雅黑"/>
          <w:b/>
          <w:sz w:val="32"/>
          <w:szCs w:val="32"/>
        </w:rPr>
        <w:t>百事太汽国风桂花潮级秀</w:t>
      </w:r>
    </w:p>
    <w:p>
      <w:pPr>
        <w:textAlignment w:val="baseline"/>
        <w:rPr>
          <w:rFonts w:ascii="微软雅黑" w:hAnsi="微软雅黑" w:eastAsia="微软雅黑"/>
          <w:b/>
        </w:rPr>
      </w:pPr>
      <w:r>
        <w:rPr>
          <w:rFonts w:hint="eastAsia" w:ascii="微软雅黑" w:hAnsi="微软雅黑" w:eastAsia="微软雅黑"/>
          <w:b/>
        </w:rPr>
        <w:t>广 告 主：</w:t>
      </w:r>
      <w:r>
        <w:rPr>
          <w:rFonts w:hint="eastAsia" w:ascii="微软雅黑" w:hAnsi="微软雅黑" w:eastAsia="微软雅黑"/>
          <w:sz w:val="21"/>
          <w:szCs w:val="21"/>
        </w:rPr>
        <w:t>百事可乐</w:t>
      </w:r>
    </w:p>
    <w:p>
      <w:pPr>
        <w:textAlignment w:val="baseline"/>
        <w:rPr>
          <w:rFonts w:ascii="微软雅黑" w:hAnsi="微软雅黑" w:eastAsia="微软雅黑"/>
          <w:b/>
        </w:rPr>
      </w:pPr>
      <w:r>
        <w:rPr>
          <w:rFonts w:hint="eastAsia" w:ascii="微软雅黑" w:hAnsi="微软雅黑" w:eastAsia="微软雅黑"/>
          <w:b/>
        </w:rPr>
        <w:t>所属行业：</w:t>
      </w:r>
      <w:r>
        <w:rPr>
          <w:rFonts w:hint="eastAsia" w:ascii="微软雅黑" w:hAnsi="微软雅黑" w:eastAsia="微软雅黑"/>
          <w:bCs/>
          <w:sz w:val="21"/>
          <w:szCs w:val="21"/>
        </w:rPr>
        <w:t>食品饮料加工业</w:t>
      </w:r>
    </w:p>
    <w:p>
      <w:pPr>
        <w:textAlignment w:val="baseline"/>
        <w:rPr>
          <w:rFonts w:ascii="微软雅黑" w:hAnsi="微软雅黑" w:eastAsia="微软雅黑"/>
          <w:b/>
        </w:rPr>
      </w:pPr>
      <w:r>
        <w:rPr>
          <w:rFonts w:hint="eastAsia" w:ascii="微软雅黑" w:hAnsi="微软雅黑" w:eastAsia="微软雅黑"/>
          <w:b/>
        </w:rPr>
        <w:t>执行时间：</w:t>
      </w:r>
      <w:r>
        <w:rPr>
          <w:rFonts w:hint="eastAsia" w:ascii="微软雅黑" w:hAnsi="微软雅黑" w:eastAsia="微软雅黑" w:cs="微软雅黑"/>
          <w:bCs/>
          <w:sz w:val="21"/>
          <w:szCs w:val="21"/>
        </w:rPr>
        <w:t>2020.0</w:t>
      </w:r>
      <w:r>
        <w:rPr>
          <w:rFonts w:ascii="微软雅黑" w:hAnsi="微软雅黑" w:eastAsia="微软雅黑" w:cs="微软雅黑"/>
          <w:bCs/>
          <w:sz w:val="21"/>
          <w:szCs w:val="21"/>
        </w:rPr>
        <w:t>6</w:t>
      </w:r>
      <w:r>
        <w:rPr>
          <w:rFonts w:hint="eastAsia" w:ascii="微软雅黑" w:hAnsi="微软雅黑" w:eastAsia="微软雅黑" w:cs="微软雅黑"/>
          <w:bCs/>
          <w:sz w:val="21"/>
          <w:szCs w:val="21"/>
        </w:rPr>
        <w:t>.</w:t>
      </w:r>
      <w:r>
        <w:rPr>
          <w:rFonts w:ascii="微软雅黑" w:hAnsi="微软雅黑" w:eastAsia="微软雅黑" w:cs="微软雅黑"/>
          <w:bCs/>
          <w:sz w:val="21"/>
          <w:szCs w:val="21"/>
        </w:rPr>
        <w:t>15</w:t>
      </w:r>
      <w:r>
        <w:rPr>
          <w:rFonts w:hint="eastAsia" w:ascii="微软雅黑" w:hAnsi="微软雅黑" w:eastAsia="微软雅黑" w:cs="微软雅黑"/>
          <w:bCs/>
          <w:sz w:val="21"/>
          <w:szCs w:val="21"/>
        </w:rPr>
        <w:t>-08.1</w:t>
      </w:r>
      <w:r>
        <w:rPr>
          <w:rFonts w:ascii="微软雅黑" w:hAnsi="微软雅黑" w:eastAsia="微软雅黑" w:cs="微软雅黑"/>
          <w:bCs/>
          <w:sz w:val="21"/>
          <w:szCs w:val="21"/>
        </w:rPr>
        <w:t>5</w:t>
      </w:r>
    </w:p>
    <w:p>
      <w:pPr>
        <w:spacing w:after="240"/>
        <w:textAlignment w:val="baseline"/>
        <w:rPr>
          <w:rFonts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sz w:val="21"/>
          <w:szCs w:val="21"/>
        </w:rPr>
        <w:t>跨媒体整合类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Arial"/>
          <w:sz w:val="21"/>
          <w:szCs w:val="21"/>
          <w:shd w:val="clear" w:color="auto" w:fill="FFFFFF"/>
        </w:rPr>
      </w:pPr>
      <w:r>
        <w:rPr>
          <w:rFonts w:ascii="微软雅黑" w:hAnsi="微软雅黑" w:eastAsia="微软雅黑" w:cs="Arial"/>
          <w:sz w:val="21"/>
          <w:szCs w:val="21"/>
          <w:shd w:val="clear" w:color="auto" w:fill="FFFFFF"/>
        </w:rPr>
        <w:t>202</w:t>
      </w:r>
      <w:r>
        <w:rPr>
          <w:rFonts w:hint="eastAsia" w:ascii="微软雅黑" w:hAnsi="微软雅黑" w:eastAsia="微软雅黑" w:cs="Arial"/>
          <w:sz w:val="21"/>
          <w:szCs w:val="21"/>
          <w:shd w:val="clear" w:color="auto" w:fill="FFFFFF"/>
        </w:rPr>
        <w:t>0</w:t>
      </w:r>
      <w:r>
        <w:rPr>
          <w:rFonts w:ascii="微软雅黑" w:hAnsi="微软雅黑" w:eastAsia="微软雅黑" w:cs="Arial"/>
          <w:sz w:val="21"/>
          <w:szCs w:val="21"/>
          <w:shd w:val="clear" w:color="auto" w:fill="FFFFFF"/>
        </w:rPr>
        <w:t>年</w:t>
      </w:r>
      <w:r>
        <w:rPr>
          <w:rFonts w:hint="eastAsia" w:ascii="微软雅黑" w:hAnsi="微软雅黑" w:eastAsia="微软雅黑" w:cs="Arial"/>
          <w:sz w:val="21"/>
          <w:szCs w:val="21"/>
          <w:shd w:val="clear" w:color="auto" w:fill="FFFFFF"/>
        </w:rPr>
        <w:t>百事可乐新口味之“太汽桂花味”新品上市，急需提升品牌声量与销量；同时，</w:t>
      </w:r>
      <w:r>
        <w:rPr>
          <w:rFonts w:ascii="微软雅黑" w:hAnsi="微软雅黑" w:eastAsia="微软雅黑" w:cs="Arial"/>
          <w:sz w:val="21"/>
          <w:szCs w:val="21"/>
          <w:shd w:val="clear" w:color="auto" w:fill="FFFFFF"/>
        </w:rPr>
        <w:t>中国</w:t>
      </w:r>
      <w:r>
        <w:rPr>
          <w:rFonts w:hint="eastAsia" w:ascii="微软雅黑" w:hAnsi="微软雅黑" w:eastAsia="微软雅黑" w:cs="Arial"/>
          <w:sz w:val="21"/>
          <w:szCs w:val="21"/>
          <w:shd w:val="clear" w:color="auto" w:fill="FFFFFF"/>
        </w:rPr>
        <w:t>饮料市场百家争鸣，一片红海，竞争者众，新品如何能从中脱颖而出，开拓新消费人群，获得目标消费者认同，进一步维持消费者之品牌忠诚度，是很大的挑战。</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Arial"/>
          <w:sz w:val="21"/>
          <w:szCs w:val="21"/>
          <w:shd w:val="clear" w:color="auto" w:fill="FFFFFF"/>
        </w:rPr>
      </w:pPr>
      <w:r>
        <w:rPr>
          <w:rFonts w:hint="eastAsia" w:ascii="微软雅黑" w:hAnsi="微软雅黑" w:eastAsia="微软雅黑" w:cs="Arial"/>
          <w:sz w:val="21"/>
          <w:szCs w:val="21"/>
          <w:shd w:val="clear" w:color="auto" w:fill="FFFFFF"/>
        </w:rPr>
        <w:t>客户首先选定“国风”主题，要求围绕“国际潮流+传统国风”的场景和形式做一场与消费者深度接触的品牌活动。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left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精确定义目标的消费群，开拓新消费人群；最大化品牌曝光度，协助提升产品销量</w:t>
      </w:r>
      <w:r>
        <w:rPr>
          <w:rFonts w:hint="eastAsia" w:ascii="微软雅黑" w:hAnsi="微软雅黑" w:eastAsia="微软雅黑"/>
          <w:sz w:val="21"/>
          <w:szCs w:val="21"/>
          <w:lang w:eastAsia="zh-CN"/>
        </w:rPr>
        <w:t>；</w:t>
      </w:r>
      <w:r>
        <w:rPr>
          <w:rFonts w:hint="eastAsia" w:ascii="微软雅黑" w:hAnsi="微软雅黑" w:eastAsia="微软雅黑"/>
          <w:sz w:val="21"/>
          <w:szCs w:val="21"/>
        </w:rPr>
        <w:t>深入沟通新产品调性，提升并保持消费者之品牌忠诚度</w:t>
      </w:r>
      <w:r>
        <w:rPr>
          <w:rFonts w:hint="eastAsia" w:ascii="微软雅黑" w:hAnsi="微软雅黑" w:eastAsia="微软雅黑"/>
          <w:sz w:val="21"/>
          <w:szCs w:val="21"/>
          <w:lang w:eastAsia="zh-CN"/>
        </w:rPr>
        <w:t>；</w:t>
      </w:r>
      <w:r>
        <w:rPr>
          <w:rFonts w:hint="eastAsia" w:ascii="微软雅黑" w:hAnsi="微软雅黑" w:eastAsia="微软雅黑"/>
          <w:sz w:val="21"/>
          <w:szCs w:val="21"/>
        </w:rPr>
        <w:t>有效整合各种媒体资源，提供最大化之品牌效益</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联动线上线下，多渠道强化营销，联动五大品牌共同推广，引领快消国潮</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hint="eastAsia" w:ascii="微软雅黑" w:hAnsi="微软雅黑" w:eastAsia="微软雅黑"/>
          <w:sz w:val="21"/>
          <w:szCs w:val="21"/>
          <w:lang w:eastAsia="zh-CN"/>
        </w:rPr>
      </w:pPr>
      <w:r>
        <w:rPr>
          <w:rFonts w:hint="eastAsia" w:ascii="微软雅黑" w:hAnsi="微软雅黑" w:eastAsia="微软雅黑" w:cs="Arial"/>
          <w:color w:val="191919"/>
          <w:sz w:val="21"/>
          <w:szCs w:val="21"/>
          <w:shd w:val="clear" w:color="auto" w:fill="FFFFFF"/>
        </w:rPr>
        <w:t>在互联网的大潮中，移动网络已然成为了最吸引人眼球的新媒介。顺应时代步伐，跨媒体的整合营销是新时代媒体策略的最佳组合，也是最符合客户需求的有效营销模式</w:t>
      </w:r>
      <w:r>
        <w:rPr>
          <w:rFonts w:hint="eastAsia" w:ascii="微软雅黑" w:hAnsi="微软雅黑" w:eastAsia="微软雅黑" w:cs="Arial"/>
          <w:color w:val="191919"/>
          <w:sz w:val="21"/>
          <w:szCs w:val="21"/>
          <w:shd w:val="clear" w:color="auto" w:fill="FFFFFF"/>
          <w:lang w:eastAsia="zh-CN"/>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b/>
          <w:bCs/>
          <w:szCs w:val="21"/>
        </w:rPr>
        <w:t>“小程序”晒单、报名、打榜+跨界营销+多渠道推广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为打通线上线下的双向连接闭环，寻求在短期内为新品推广募集上万粉丝，上线小程序，结合晒单、报名、打榜等互动方式，提升用户体验，同时跨界结合国风IP，打造品牌美誉度，吸引用户深度参与，提升购买率与复购率</w:t>
      </w:r>
      <w:r>
        <w:rPr>
          <w:rFonts w:hint="eastAsia" w:ascii="微软雅黑" w:hAnsi="微软雅黑" w:eastAsia="微软雅黑"/>
          <w:sz w:val="21"/>
          <w:szCs w:val="21"/>
          <w:lang w:eastAsia="zh-CN"/>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szCs w:val="21"/>
        </w:rPr>
      </w:pPr>
      <w:r>
        <w:rPr>
          <w:rFonts w:hint="eastAsia" w:ascii="微软雅黑" w:hAnsi="微软雅黑" w:eastAsia="微软雅黑"/>
          <w:b/>
          <w:szCs w:val="21"/>
        </w:rPr>
        <w:t>设计具有创意又有丰富奖励机制的内容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以创意的内容沟通用户，吸引消费者，配合奖品丰富的抽奖机制，提升消费者的品牌喜好度，最终建立忠诚度，以此为目的策划了一场国风才艺的比赛——潮级秀。</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color w:val="0000FF"/>
          <w:sz w:val="28"/>
        </w:rPr>
      </w:pPr>
      <w:bookmarkStart w:id="1" w:name="_GoBack"/>
      <w:r>
        <w:rPr>
          <w:rFonts w:hint="eastAsia" w:ascii="微软雅黑" w:hAnsi="微软雅黑" w:eastAsia="微软雅黑"/>
          <w:b/>
          <w:color w:val="0000FF"/>
          <w:sz w:val="28"/>
        </w:rPr>
        <w:drawing>
          <wp:inline distT="0" distB="0" distL="114300" distR="114300">
            <wp:extent cx="3891915" cy="2399030"/>
            <wp:effectExtent l="0" t="0" r="6985" b="1270"/>
            <wp:docPr id="3" name="图片 3" descr="161112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1122794(1)"/>
                    <pic:cNvPicPr>
                      <a:picLocks noChangeAspect="1"/>
                    </pic:cNvPicPr>
                  </pic:nvPicPr>
                  <pic:blipFill>
                    <a:blip r:embed="rId7"/>
                    <a:stretch>
                      <a:fillRect/>
                    </a:stretch>
                  </pic:blipFill>
                  <pic:spPr>
                    <a:xfrm>
                      <a:off x="0" y="0"/>
                      <a:ext cx="3891915" cy="2399030"/>
                    </a:xfrm>
                    <a:prstGeom prst="rect">
                      <a:avLst/>
                    </a:prstGeom>
                  </pic:spPr>
                </pic:pic>
              </a:graphicData>
            </a:graphic>
          </wp:inline>
        </w:drawing>
      </w:r>
      <w:bookmarkEnd w:id="1"/>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b/>
          <w:bCs/>
          <w:sz w:val="21"/>
          <w:szCs w:val="21"/>
        </w:rPr>
      </w:pPr>
      <w:r>
        <w:rPr>
          <w:rFonts w:hint="eastAsia" w:ascii="微软雅黑" w:hAnsi="微软雅黑" w:eastAsia="微软雅黑"/>
          <w:b/>
          <w:bCs/>
          <w:sz w:val="21"/>
          <w:szCs w:val="21"/>
        </w:rPr>
        <w:t>通过线上线下的双向连接闭环</w:t>
      </w:r>
      <w:r>
        <w:rPr>
          <w:rFonts w:hint="eastAsia" w:ascii="微软雅黑" w:hAnsi="微软雅黑" w:eastAsia="微软雅黑"/>
          <w:sz w:val="21"/>
          <w:szCs w:val="21"/>
        </w:rPr>
        <w:t>，海浪式铺盖精准用户人群，真正做到依托数据分析做产品营销，同时能有效的控制活动进度。</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sz w:val="21"/>
          <w:szCs w:val="21"/>
        </w:rPr>
      </w:pPr>
      <w:r>
        <w:rPr>
          <w:rFonts w:hint="eastAsia" w:ascii="微软雅黑" w:hAnsi="微软雅黑" w:eastAsia="微软雅黑"/>
          <w:sz w:val="21"/>
          <w:szCs w:val="21"/>
        </w:rPr>
        <w:t>潮级秀</w:t>
      </w:r>
      <w:r>
        <w:rPr>
          <w:rFonts w:hint="eastAsia" w:ascii="微软雅黑" w:hAnsi="微软雅黑" w:eastAsia="微软雅黑"/>
          <w:b/>
          <w:bCs/>
          <w:sz w:val="21"/>
          <w:szCs w:val="21"/>
        </w:rPr>
        <w:t>创意策划+全国区域联动+精准传播+矩阵协同+“一物一码”平台</w:t>
      </w:r>
      <w:r>
        <w:rPr>
          <w:rFonts w:hint="eastAsia" w:ascii="微软雅黑" w:hAnsi="微软雅黑" w:eastAsia="微软雅黑"/>
          <w:sz w:val="21"/>
          <w:szCs w:val="21"/>
        </w:rPr>
        <w:t>，实现营销传播效果最大化。</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sz w:val="21"/>
          <w:szCs w:val="21"/>
        </w:rPr>
      </w:pPr>
      <w:r>
        <w:rPr>
          <w:rFonts w:hint="eastAsia" w:ascii="微软雅黑" w:hAnsi="微软雅黑" w:eastAsia="微软雅黑"/>
          <w:sz w:val="21"/>
          <w:szCs w:val="21"/>
        </w:rPr>
        <w:t>本次营销以同样的广告价格，创造出更好的广告效果，由于其独特的锁定目标客户的投放方式，针对性极强，有效地避免了广告浪费，超额完成目标销售量。</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b/>
          <w:bCs/>
          <w:sz w:val="21"/>
          <w:szCs w:val="21"/>
        </w:rPr>
      </w:pPr>
      <w:r>
        <w:rPr>
          <w:rFonts w:hint="eastAsia" w:ascii="微软雅黑" w:hAnsi="微软雅黑" w:eastAsia="微软雅黑"/>
          <w:b/>
          <w:bCs/>
          <w:sz w:val="21"/>
          <w:szCs w:val="21"/>
        </w:rPr>
        <w:t>百事可乐利用小程序晒单，结合KOL、双微、一直播，地铁广告位、电视多媒体等多渠道进行推广。</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b/>
          <w:bCs/>
          <w:color w:val="auto"/>
          <w:sz w:val="21"/>
          <w:szCs w:val="21"/>
        </w:rPr>
      </w:pPr>
      <w:r>
        <w:rPr>
          <w:rFonts w:hint="eastAsia" w:ascii="微软雅黑" w:hAnsi="微软雅黑" w:eastAsia="微软雅黑"/>
          <w:b/>
          <w:bCs/>
          <w:color w:val="auto"/>
          <w:sz w:val="21"/>
          <w:szCs w:val="21"/>
        </w:rPr>
        <w:t>一、线上传播：</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lang w:val="en-US" w:eastAsia="zh-CN"/>
        </w:rPr>
        <w:t xml:space="preserve">① </w:t>
      </w:r>
      <w:r>
        <w:rPr>
          <w:rFonts w:hint="eastAsia" w:ascii="微软雅黑" w:hAnsi="微软雅黑" w:eastAsia="微软雅黑"/>
          <w:b/>
          <w:bCs/>
          <w:szCs w:val="21"/>
        </w:rPr>
        <w:t>小程序</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sz w:val="21"/>
          <w:szCs w:val="21"/>
        </w:rPr>
      </w:pPr>
      <w:r>
        <w:rPr>
          <w:rFonts w:hint="eastAsia" w:ascii="微软雅黑" w:hAnsi="微软雅黑" w:eastAsia="微软雅黑"/>
          <w:sz w:val="21"/>
          <w:szCs w:val="21"/>
        </w:rPr>
        <w:t>购买新品后到官方小程序进行晒单，即有机会获得返现红包，参与积分换购，礼品抽奖；赛事开启后消费者可选择进入小程序报名百事国风桂花“潮”级秀参与人气PK或者用累计积分为选手投票。</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5720715" cy="19551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720715" cy="1955165"/>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lang w:val="en-US" w:eastAsia="zh-CN"/>
        </w:rPr>
        <w:t xml:space="preserve">② </w:t>
      </w:r>
      <w:r>
        <w:rPr>
          <w:rFonts w:hint="eastAsia" w:ascii="微软雅黑" w:hAnsi="微软雅黑" w:eastAsia="微软雅黑"/>
          <w:b/>
          <w:bCs/>
          <w:szCs w:val="21"/>
        </w:rPr>
        <w:t>官方微信公众号：华南百事可乐</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使用精美长图推送，强势输出新品上市和赛事信息，紧密沟通，吸引大批粉丝围观。</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1437640" cy="2819400"/>
            <wp:effectExtent l="0" t="0" r="1016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rcRect t="9487"/>
                    <a:stretch>
                      <a:fillRect/>
                    </a:stretch>
                  </pic:blipFill>
                  <pic:spPr>
                    <a:xfrm>
                      <a:off x="0" y="0"/>
                      <a:ext cx="1437640" cy="2819400"/>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 xml:space="preserve">③ </w:t>
      </w:r>
      <w:r>
        <w:rPr>
          <w:rFonts w:hint="eastAsia" w:ascii="微软雅黑" w:hAnsi="微软雅黑" w:eastAsia="微软雅黑" w:cs="微软雅黑"/>
          <w:b/>
          <w:bCs/>
          <w:szCs w:val="21"/>
        </w:rPr>
        <w:t>新浪微博：华南百事可乐</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发起微博话题#国潮新桂 弄潮当夏#，与粉丝共同感受潮级秀比赛现场的高能时刻。并联合</w:t>
      </w:r>
      <w:r>
        <w:rPr>
          <w:rFonts w:hint="eastAsia" w:ascii="微软雅黑" w:hAnsi="微软雅黑" w:eastAsia="微软雅黑" w:cs="微软雅黑"/>
          <w:b/>
          <w:bCs/>
          <w:sz w:val="21"/>
          <w:szCs w:val="21"/>
        </w:rPr>
        <w:t>触漫App、街舞联盟，盘子女人坊</w:t>
      </w:r>
      <w:r>
        <w:rPr>
          <w:rFonts w:hint="eastAsia" w:ascii="微软雅黑" w:hAnsi="微软雅黑" w:eastAsia="微软雅黑" w:cs="微软雅黑"/>
          <w:sz w:val="21"/>
          <w:szCs w:val="21"/>
        </w:rPr>
        <w:t>三大平台，多渠道大范围精准曝光配合赛事营销。</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cs="微软雅黑"/>
          <w:sz w:val="21"/>
          <w:szCs w:val="21"/>
        </w:rPr>
      </w:pPr>
      <w:r>
        <w:drawing>
          <wp:inline distT="0" distB="0" distL="114300" distR="114300">
            <wp:extent cx="2773680" cy="2513330"/>
            <wp:effectExtent l="0" t="0" r="20320"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2773680" cy="2513330"/>
                    </a:xfrm>
                    <a:prstGeom prst="rect">
                      <a:avLst/>
                    </a:prstGeom>
                    <a:noFill/>
                    <a:ln w="9525">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 xml:space="preserve">④ </w:t>
      </w:r>
      <w:r>
        <w:rPr>
          <w:rFonts w:hint="eastAsia" w:ascii="微软雅黑" w:hAnsi="微软雅黑" w:eastAsia="微软雅黑" w:cs="微软雅黑"/>
          <w:b/>
          <w:bCs/>
          <w:sz w:val="21"/>
          <w:szCs w:val="21"/>
        </w:rPr>
        <w:t>珠三角522桂花新品直播活动分享</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在平台进行新品桂花活动专场直播，链接天猫超市带货，利用百事太汽桂花潮级秀活动置换百万级网红人气主播以及直播场地，人气主播提前预热直播活动，将原有粉丝流量带入直播间成为消费主力，品市处主管出镜共同介绍品牌及带货。</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cs="微软雅黑"/>
          <w:sz w:val="21"/>
          <w:szCs w:val="21"/>
        </w:rPr>
      </w:pPr>
      <w:r>
        <w:drawing>
          <wp:inline distT="0" distB="0" distL="114300" distR="114300">
            <wp:extent cx="1657350" cy="2948305"/>
            <wp:effectExtent l="0" t="0" r="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1"/>
                    <a:stretch>
                      <a:fillRect/>
                    </a:stretch>
                  </pic:blipFill>
                  <pic:spPr>
                    <a:xfrm>
                      <a:off x="0" y="0"/>
                      <a:ext cx="1659235" cy="2952167"/>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 xml:space="preserve">⑤ </w:t>
      </w:r>
      <w:r>
        <w:rPr>
          <w:rFonts w:hint="eastAsia" w:ascii="微软雅黑" w:hAnsi="微软雅黑" w:eastAsia="微软雅黑" w:cs="微软雅黑"/>
          <w:b/>
          <w:bCs/>
          <w:szCs w:val="21"/>
        </w:rPr>
        <w:t>珠三角叮咚买菜百事品牌周暨桂花味新品上市推广活动</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叮咚买菜首页banner位和内页头图资源宣传本次活动预覆盖深圳区域30万消费者，提高新品曝光率和消费者尝鲜率。</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cs="微软雅黑"/>
          <w:sz w:val="21"/>
          <w:szCs w:val="21"/>
        </w:rPr>
      </w:pPr>
      <w:r>
        <w:drawing>
          <wp:inline distT="0" distB="0" distL="114300" distR="114300">
            <wp:extent cx="606425" cy="2363470"/>
            <wp:effectExtent l="0" t="0" r="31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06425" cy="2363470"/>
                    </a:xfrm>
                    <a:prstGeom prst="rect">
                      <a:avLst/>
                    </a:prstGeom>
                    <a:noFill/>
                    <a:ln>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 xml:space="preserve">⑥ </w:t>
      </w:r>
      <w:r>
        <w:rPr>
          <w:rFonts w:hint="eastAsia" w:ascii="微软雅黑" w:hAnsi="微软雅黑" w:eastAsia="微软雅黑" w:cs="微软雅黑"/>
          <w:b/>
          <w:bCs/>
          <w:szCs w:val="21"/>
        </w:rPr>
        <w:t>美宜佳会员小程序宣传新品优惠活动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为了适应复杂变幻的市场，特联动美宜佳品牌，在其小程序banner位及首页中宣传百事新品，消费者点击banner位可以直接跳转百事小程序，且在首页中穿插优惠活动告知消费者，通过曝光成功拉新上万消费者。</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cs="微软雅黑"/>
          <w:sz w:val="21"/>
          <w:szCs w:val="21"/>
        </w:rPr>
      </w:pPr>
      <w:r>
        <w:rPr>
          <w:rFonts w:ascii="微软雅黑" w:hAnsi="微软雅黑" w:eastAsia="微软雅黑" w:cs="微软雅黑"/>
          <w:sz w:val="21"/>
          <w:szCs w:val="21"/>
        </w:rPr>
        <w:drawing>
          <wp:inline distT="0" distB="0" distL="0" distR="0">
            <wp:extent cx="1774190" cy="3686175"/>
            <wp:effectExtent l="0" t="0" r="0" b="952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4197" cy="3686387"/>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二、线下推广：</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b/>
          <w:bCs/>
          <w:sz w:val="21"/>
          <w:szCs w:val="21"/>
        </w:rPr>
      </w:pPr>
      <w:r>
        <w:rPr>
          <w:rFonts w:hint="eastAsia" w:ascii="微软雅黑" w:hAnsi="微软雅黑" w:eastAsia="微软雅黑" w:cs="微软雅黑"/>
          <w:b/>
          <w:bCs/>
          <w:sz w:val="21"/>
          <w:szCs w:val="21"/>
        </w:rPr>
        <w:t>①</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潮级秀赛事活动现场</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万达广场热闹非凡，吸引了广场附近人群，活动现场人流量3万+</w:t>
      </w:r>
      <w:r>
        <w:rPr>
          <w:rFonts w:hint="default" w:ascii="微软雅黑" w:hAnsi="微软雅黑" w:eastAsia="微软雅黑" w:cs="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b/>
          <w:bCs/>
          <w:sz w:val="21"/>
          <w:szCs w:val="21"/>
        </w:rPr>
      </w:pPr>
      <w:r>
        <w:rPr>
          <w:rFonts w:ascii="微软雅黑" w:hAnsi="微软雅黑" w:eastAsia="微软雅黑"/>
          <w:b/>
        </w:rPr>
        <w:drawing>
          <wp:inline distT="0" distB="0" distL="0" distR="0">
            <wp:extent cx="5720715" cy="1650365"/>
            <wp:effectExtent l="0" t="0" r="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rcRect t="33704" b="23163"/>
                    <a:stretch>
                      <a:fillRect/>
                    </a:stretch>
                  </pic:blipFill>
                  <pic:spPr>
                    <a:xfrm>
                      <a:off x="0" y="0"/>
                      <a:ext cx="5720715" cy="165036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b/>
          <w:bCs/>
          <w:sz w:val="21"/>
          <w:szCs w:val="21"/>
        </w:rPr>
      </w:pPr>
      <w:r>
        <w:rPr>
          <w:rFonts w:hint="eastAsia" w:ascii="微软雅黑" w:hAnsi="微软雅黑" w:eastAsia="微软雅黑" w:cs="微软雅黑"/>
          <w:b/>
          <w:bCs/>
          <w:sz w:val="21"/>
          <w:szCs w:val="21"/>
        </w:rPr>
        <w:t>②</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珠三角桂花新品公交车体广告</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在原有常规的媒体宣传渠道中，借百事桂花味新品上市契机，在公交车车体上刊登新品广告。通过包装交通工具，覆盖珠三角大部分消费群体，拓展了 4条公交线路覆盖整个中山重点交通路线。横跨中山、珠海共20个镇区、127个公交站点。</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3199765" cy="2399665"/>
            <wp:effectExtent l="0" t="0" r="635" b="6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3200000" cy="24000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color w:val="auto"/>
          <w:sz w:val="21"/>
          <w:szCs w:val="21"/>
        </w:rPr>
        <w:t>为期2个月的活动中：</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销量贡献：</w:t>
      </w:r>
      <w:r>
        <w:rPr>
          <w:rFonts w:hint="eastAsia" w:ascii="微软雅黑" w:hAnsi="微软雅黑" w:eastAsia="微软雅黑"/>
          <w:color w:val="auto"/>
          <w:sz w:val="21"/>
          <w:szCs w:val="21"/>
        </w:rPr>
        <w:t>总销量超</w:t>
      </w:r>
      <w:r>
        <w:rPr>
          <w:rFonts w:hint="eastAsia" w:ascii="微软雅黑" w:hAnsi="微软雅黑" w:eastAsia="微软雅黑"/>
          <w:b w:val="0"/>
          <w:bCs w:val="0"/>
          <w:color w:val="auto"/>
          <w:sz w:val="21"/>
          <w:szCs w:val="21"/>
        </w:rPr>
        <w:t>过</w:t>
      </w:r>
      <w:r>
        <w:rPr>
          <w:rFonts w:hint="eastAsia" w:ascii="微软雅黑" w:hAnsi="微软雅黑" w:eastAsia="微软雅黑"/>
          <w:b/>
          <w:bCs/>
          <w:color w:val="auto"/>
          <w:sz w:val="21"/>
          <w:szCs w:val="21"/>
        </w:rPr>
        <w:t>3000万元人民币</w:t>
      </w:r>
      <w:r>
        <w:rPr>
          <w:rFonts w:hint="eastAsia" w:ascii="微软雅黑" w:hAnsi="微软雅黑" w:eastAsia="微软雅黑"/>
          <w:color w:val="auto"/>
          <w:sz w:val="21"/>
          <w:szCs w:val="21"/>
        </w:rPr>
        <w:t>，全国销量提升</w:t>
      </w:r>
      <w:r>
        <w:rPr>
          <w:rFonts w:hint="eastAsia" w:ascii="微软雅黑" w:hAnsi="微软雅黑" w:eastAsia="微软雅黑"/>
          <w:b/>
          <w:bCs/>
          <w:color w:val="auto"/>
          <w:sz w:val="21"/>
          <w:szCs w:val="21"/>
        </w:rPr>
        <w:t>10%</w:t>
      </w:r>
      <w:r>
        <w:rPr>
          <w:rFonts w:hint="eastAsia" w:ascii="微软雅黑" w:hAnsi="微软雅黑" w:eastAsia="微软雅黑"/>
          <w:color w:val="auto"/>
          <w:sz w:val="21"/>
          <w:szCs w:val="21"/>
        </w:rPr>
        <w:t>，超乎客户预期。</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传播力：</w:t>
      </w:r>
      <w:r>
        <w:rPr>
          <w:rFonts w:hint="eastAsia" w:ascii="微软雅黑" w:hAnsi="微软雅黑" w:eastAsia="微软雅黑"/>
          <w:bCs/>
          <w:color w:val="auto"/>
          <w:sz w:val="21"/>
          <w:szCs w:val="21"/>
        </w:rPr>
        <w:t>小程序上线期间，单日最高参与人数达数万人，触达人群超过</w:t>
      </w:r>
      <w:r>
        <w:rPr>
          <w:rFonts w:hint="eastAsia" w:ascii="微软雅黑" w:hAnsi="微软雅黑" w:eastAsia="微软雅黑"/>
          <w:b/>
          <w:bCs w:val="0"/>
          <w:color w:val="auto"/>
          <w:sz w:val="21"/>
          <w:szCs w:val="21"/>
        </w:rPr>
        <w:t>十万</w:t>
      </w:r>
      <w:r>
        <w:rPr>
          <w:rFonts w:hint="eastAsia" w:ascii="微软雅黑" w:hAnsi="微软雅黑" w:eastAsia="微软雅黑"/>
          <w:bCs/>
          <w:color w:val="auto"/>
          <w:sz w:val="21"/>
          <w:szCs w:val="21"/>
        </w:rPr>
        <w:t>。</w:t>
      </w:r>
      <w:r>
        <w:rPr>
          <w:rFonts w:hint="eastAsia" w:ascii="微软雅黑" w:hAnsi="微软雅黑" w:eastAsia="微软雅黑"/>
          <w:color w:val="auto"/>
          <w:sz w:val="21"/>
          <w:szCs w:val="21"/>
        </w:rPr>
        <w:t>活动持续宣传曝光六个月，总流量达到</w:t>
      </w:r>
      <w:r>
        <w:rPr>
          <w:rFonts w:hint="eastAsia" w:ascii="微软雅黑" w:hAnsi="微软雅黑" w:eastAsia="微软雅黑"/>
          <w:b/>
          <w:bCs/>
          <w:color w:val="auto"/>
          <w:sz w:val="21"/>
          <w:szCs w:val="21"/>
        </w:rPr>
        <w:t>2.2亿+</w:t>
      </w:r>
      <w:r>
        <w:rPr>
          <w:rFonts w:hint="eastAsia" w:ascii="微软雅黑" w:hAnsi="微软雅黑" w:eastAsia="微软雅黑"/>
          <w:color w:val="auto"/>
          <w:sz w:val="21"/>
          <w:szCs w:val="21"/>
        </w:rPr>
        <w:t>。</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创新力：</w:t>
      </w:r>
      <w:r>
        <w:rPr>
          <w:rFonts w:hint="eastAsia" w:ascii="微软雅黑" w:hAnsi="微软雅黑" w:eastAsia="微软雅黑"/>
          <w:color w:val="auto"/>
          <w:sz w:val="21"/>
          <w:szCs w:val="21"/>
        </w:rPr>
        <w:t>潮级秀启用了全新创新的宣传方式。活动期间最高参与人数高达数十万，触达人群超过千万，消费者</w:t>
      </w:r>
      <w:r>
        <w:rPr>
          <w:rFonts w:hint="eastAsia" w:ascii="微软雅黑" w:hAnsi="微软雅黑" w:eastAsia="微软雅黑"/>
          <w:b/>
          <w:bCs/>
          <w:color w:val="auto"/>
          <w:sz w:val="21"/>
          <w:szCs w:val="21"/>
        </w:rPr>
        <w:t>复购率明显上升</w:t>
      </w:r>
      <w:r>
        <w:rPr>
          <w:rFonts w:hint="eastAsia" w:ascii="微软雅黑" w:hAnsi="微软雅黑" w:eastAsia="微软雅黑"/>
          <w:color w:val="auto"/>
          <w:sz w:val="21"/>
          <w:szCs w:val="21"/>
        </w:rPr>
        <w:t>。</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媒介推动力：</w:t>
      </w:r>
      <w:r>
        <w:rPr>
          <w:rFonts w:hint="eastAsia" w:ascii="微软雅黑" w:hAnsi="微软雅黑" w:eastAsia="微软雅黑"/>
          <w:color w:val="auto"/>
          <w:sz w:val="21"/>
          <w:szCs w:val="21"/>
        </w:rPr>
        <w:t>双微累计阅读量破百万，一直播同线上同步直播观看量</w:t>
      </w:r>
      <w:r>
        <w:rPr>
          <w:rFonts w:hint="eastAsia" w:ascii="微软雅黑" w:hAnsi="微软雅黑" w:eastAsia="微软雅黑"/>
          <w:b/>
          <w:bCs/>
          <w:color w:val="auto"/>
          <w:sz w:val="21"/>
          <w:szCs w:val="21"/>
        </w:rPr>
        <w:t>破数千万人次</w:t>
      </w:r>
      <w:r>
        <w:rPr>
          <w:rFonts w:hint="eastAsia" w:ascii="微软雅黑" w:hAnsi="微软雅黑" w:eastAsia="微软雅黑"/>
          <w:color w:val="auto"/>
          <w:sz w:val="21"/>
          <w:szCs w:val="21"/>
        </w:rPr>
        <w:t>，实现粉丝爆发式增长。</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物码推动力：</w:t>
      </w:r>
      <w:r>
        <w:rPr>
          <w:rFonts w:hint="eastAsia" w:ascii="微软雅黑" w:hAnsi="微软雅黑" w:eastAsia="微软雅黑"/>
          <w:color w:val="auto"/>
          <w:sz w:val="21"/>
          <w:szCs w:val="21"/>
        </w:rPr>
        <w:t>一物一码打通了线上线下的双向连接闭环，实现品牌</w:t>
      </w:r>
      <w:r>
        <w:rPr>
          <w:rFonts w:hint="eastAsia" w:ascii="微软雅黑" w:hAnsi="微软雅黑" w:eastAsia="微软雅黑"/>
          <w:b/>
          <w:bCs/>
          <w:color w:val="auto"/>
          <w:sz w:val="21"/>
          <w:szCs w:val="21"/>
        </w:rPr>
        <w:t>千万级别曝光</w:t>
      </w:r>
      <w:r>
        <w:rPr>
          <w:rFonts w:hint="eastAsia" w:ascii="微软雅黑" w:hAnsi="微软雅黑" w:eastAsia="微软雅黑"/>
          <w:color w:val="auto"/>
          <w:sz w:val="21"/>
          <w:szCs w:val="21"/>
        </w:rPr>
        <w:t>，达到全方位推广产品的效果。</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线下曝光数据：</w:t>
      </w:r>
      <w:r>
        <w:rPr>
          <w:rFonts w:hint="eastAsia" w:ascii="微软雅黑" w:hAnsi="微软雅黑" w:eastAsia="微软雅黑"/>
          <w:color w:val="auto"/>
          <w:sz w:val="21"/>
          <w:szCs w:val="21"/>
        </w:rPr>
        <w:t>活动现场人流量</w:t>
      </w:r>
      <w:r>
        <w:rPr>
          <w:rFonts w:hint="eastAsia" w:ascii="微软雅黑" w:hAnsi="微软雅黑" w:eastAsia="微软雅黑"/>
          <w:b/>
          <w:bCs/>
          <w:color w:val="auto"/>
          <w:sz w:val="21"/>
          <w:szCs w:val="21"/>
        </w:rPr>
        <w:t>3万人+</w:t>
      </w:r>
      <w:r>
        <w:rPr>
          <w:rFonts w:hint="eastAsia" w:ascii="微软雅黑" w:hAnsi="微软雅黑" w:eastAsia="微软雅黑"/>
          <w:color w:val="auto"/>
          <w:sz w:val="21"/>
          <w:szCs w:val="21"/>
        </w:rPr>
        <w:t>，周边间接影响</w:t>
      </w:r>
      <w:r>
        <w:rPr>
          <w:rFonts w:hint="eastAsia" w:ascii="微软雅黑" w:hAnsi="微软雅黑" w:eastAsia="微软雅黑"/>
          <w:b/>
          <w:bCs/>
          <w:color w:val="auto"/>
          <w:sz w:val="21"/>
          <w:szCs w:val="21"/>
        </w:rPr>
        <w:t>8万人+</w:t>
      </w:r>
      <w:r>
        <w:rPr>
          <w:rFonts w:hint="eastAsia" w:ascii="微软雅黑" w:hAnsi="微软雅黑" w:eastAsia="微软雅黑"/>
          <w:color w:val="auto"/>
          <w:sz w:val="21"/>
          <w:szCs w:val="21"/>
        </w:rPr>
        <w:t>，线下整体曝光</w:t>
      </w:r>
      <w:r>
        <w:rPr>
          <w:rFonts w:hint="eastAsia" w:ascii="微软雅黑" w:hAnsi="微软雅黑" w:eastAsia="微软雅黑"/>
          <w:b/>
          <w:bCs/>
          <w:color w:val="auto"/>
          <w:sz w:val="21"/>
          <w:szCs w:val="21"/>
        </w:rPr>
        <w:t>160万+</w:t>
      </w:r>
      <w:r>
        <w:rPr>
          <w:rFonts w:hint="eastAsia" w:ascii="微软雅黑" w:hAnsi="微软雅黑" w:eastAsia="微软雅黑"/>
          <w:color w:val="auto"/>
          <w:sz w:val="21"/>
          <w:szCs w:val="21"/>
        </w:rPr>
        <w:t>；线上UCG二次曝光影响力</w:t>
      </w:r>
      <w:r>
        <w:rPr>
          <w:rFonts w:hint="eastAsia" w:ascii="微软雅黑" w:hAnsi="微软雅黑" w:eastAsia="微软雅黑"/>
          <w:b/>
          <w:bCs/>
          <w:color w:val="auto"/>
          <w:sz w:val="21"/>
          <w:szCs w:val="21"/>
        </w:rPr>
        <w:t>150万人+</w:t>
      </w:r>
      <w:r>
        <w:rPr>
          <w:rFonts w:hint="eastAsia" w:ascii="微软雅黑" w:hAnsi="微软雅黑" w:eastAsia="微软雅黑"/>
          <w:color w:val="auto"/>
          <w:sz w:val="21"/>
          <w:szCs w:val="21"/>
        </w:rPr>
        <w:t>。</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珠三角桂花新品公交车体广告曝光数据：</w:t>
      </w:r>
      <w:r>
        <w:rPr>
          <w:rFonts w:hint="eastAsia" w:ascii="微软雅黑" w:hAnsi="微软雅黑" w:eastAsia="微软雅黑"/>
          <w:color w:val="auto"/>
          <w:sz w:val="21"/>
          <w:szCs w:val="21"/>
        </w:rPr>
        <w:t>4条线路覆盖整个中山重点交通路线。横跨中山、珠海共20个镇区、127个公交站点。覆盖人群50万人次。</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jc w:val="both"/>
        <w:textAlignment w:val="baseline"/>
        <w:rPr>
          <w:rFonts w:ascii="微软雅黑" w:hAnsi="微软雅黑" w:eastAsia="微软雅黑"/>
          <w:color w:val="auto"/>
          <w:sz w:val="21"/>
          <w:szCs w:val="21"/>
        </w:rPr>
      </w:pPr>
      <w:r>
        <w:rPr>
          <w:rFonts w:hint="eastAsia" w:ascii="微软雅黑" w:hAnsi="微软雅黑" w:eastAsia="微软雅黑"/>
          <w:b/>
          <w:bCs/>
          <w:color w:val="auto"/>
          <w:sz w:val="21"/>
          <w:szCs w:val="21"/>
        </w:rPr>
        <w:t>品牌反馈：</w:t>
      </w:r>
      <w:r>
        <w:rPr>
          <w:rFonts w:hint="eastAsia" w:ascii="微软雅黑" w:hAnsi="微软雅黑" w:eastAsia="微软雅黑"/>
          <w:color w:val="auto"/>
          <w:sz w:val="21"/>
          <w:szCs w:val="21"/>
        </w:rPr>
        <w:t>构建百事可乐与消费者“关系紧紧相扣，实现精神共鸣”，与百事可乐品牌理念传递好心情，健康生活达成一致的品牌战略思想。</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63000"/>
    <w:multiLevelType w:val="singleLevel"/>
    <w:tmpl w:val="65B6300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220C"/>
    <w:rsid w:val="00046CF7"/>
    <w:rsid w:val="000532E1"/>
    <w:rsid w:val="00056E4C"/>
    <w:rsid w:val="0006079A"/>
    <w:rsid w:val="000631F9"/>
    <w:rsid w:val="000650FC"/>
    <w:rsid w:val="00071CE5"/>
    <w:rsid w:val="000724F0"/>
    <w:rsid w:val="0007509B"/>
    <w:rsid w:val="00077EC5"/>
    <w:rsid w:val="000915E6"/>
    <w:rsid w:val="00097129"/>
    <w:rsid w:val="000979A5"/>
    <w:rsid w:val="000A3EB7"/>
    <w:rsid w:val="000A64DE"/>
    <w:rsid w:val="000B2399"/>
    <w:rsid w:val="000D05FE"/>
    <w:rsid w:val="000D6DC9"/>
    <w:rsid w:val="000E10C0"/>
    <w:rsid w:val="000E18A5"/>
    <w:rsid w:val="000E2A45"/>
    <w:rsid w:val="000F07ED"/>
    <w:rsid w:val="000F4F10"/>
    <w:rsid w:val="000F5168"/>
    <w:rsid w:val="000F63B2"/>
    <w:rsid w:val="00106EA3"/>
    <w:rsid w:val="0010732C"/>
    <w:rsid w:val="00114DD5"/>
    <w:rsid w:val="00120D42"/>
    <w:rsid w:val="001265C9"/>
    <w:rsid w:val="00131A61"/>
    <w:rsid w:val="00136B4D"/>
    <w:rsid w:val="00136CA1"/>
    <w:rsid w:val="00142184"/>
    <w:rsid w:val="001458CE"/>
    <w:rsid w:val="00146A94"/>
    <w:rsid w:val="001540DA"/>
    <w:rsid w:val="0016685D"/>
    <w:rsid w:val="00172A27"/>
    <w:rsid w:val="001731D8"/>
    <w:rsid w:val="00173E91"/>
    <w:rsid w:val="00176817"/>
    <w:rsid w:val="00181C7B"/>
    <w:rsid w:val="00184006"/>
    <w:rsid w:val="00192A5B"/>
    <w:rsid w:val="00194762"/>
    <w:rsid w:val="00195220"/>
    <w:rsid w:val="001954B4"/>
    <w:rsid w:val="0019737F"/>
    <w:rsid w:val="001A500D"/>
    <w:rsid w:val="001C4334"/>
    <w:rsid w:val="001D0560"/>
    <w:rsid w:val="001D11F3"/>
    <w:rsid w:val="001D2E2D"/>
    <w:rsid w:val="001E12DA"/>
    <w:rsid w:val="001E25BA"/>
    <w:rsid w:val="001E38F1"/>
    <w:rsid w:val="001E6133"/>
    <w:rsid w:val="001F17F1"/>
    <w:rsid w:val="001F19D6"/>
    <w:rsid w:val="001F36FC"/>
    <w:rsid w:val="001F4270"/>
    <w:rsid w:val="0020719F"/>
    <w:rsid w:val="002208F6"/>
    <w:rsid w:val="0022117C"/>
    <w:rsid w:val="00235548"/>
    <w:rsid w:val="0023746F"/>
    <w:rsid w:val="002405B6"/>
    <w:rsid w:val="002447FD"/>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762B"/>
    <w:rsid w:val="002E53E1"/>
    <w:rsid w:val="002E7E41"/>
    <w:rsid w:val="002F2AF3"/>
    <w:rsid w:val="002F3A4B"/>
    <w:rsid w:val="002F7E7A"/>
    <w:rsid w:val="003056B8"/>
    <w:rsid w:val="00307FDC"/>
    <w:rsid w:val="00311DCD"/>
    <w:rsid w:val="00317BD4"/>
    <w:rsid w:val="00320B24"/>
    <w:rsid w:val="003219F7"/>
    <w:rsid w:val="00334623"/>
    <w:rsid w:val="00336356"/>
    <w:rsid w:val="00342FA9"/>
    <w:rsid w:val="003548BE"/>
    <w:rsid w:val="00361FEC"/>
    <w:rsid w:val="00362043"/>
    <w:rsid w:val="00365FAB"/>
    <w:rsid w:val="00371D9E"/>
    <w:rsid w:val="00371F8B"/>
    <w:rsid w:val="00383AEA"/>
    <w:rsid w:val="00386E93"/>
    <w:rsid w:val="0038758A"/>
    <w:rsid w:val="003A2FD7"/>
    <w:rsid w:val="003A3097"/>
    <w:rsid w:val="003A3802"/>
    <w:rsid w:val="003B69CD"/>
    <w:rsid w:val="003C78A2"/>
    <w:rsid w:val="003E2E89"/>
    <w:rsid w:val="003E42EA"/>
    <w:rsid w:val="003E5177"/>
    <w:rsid w:val="003F1321"/>
    <w:rsid w:val="003F1D64"/>
    <w:rsid w:val="003F32CB"/>
    <w:rsid w:val="003F3BB6"/>
    <w:rsid w:val="003F3F93"/>
    <w:rsid w:val="003F410F"/>
    <w:rsid w:val="003F4BD3"/>
    <w:rsid w:val="00404490"/>
    <w:rsid w:val="00407F5C"/>
    <w:rsid w:val="00407FAE"/>
    <w:rsid w:val="0041077C"/>
    <w:rsid w:val="004109EA"/>
    <w:rsid w:val="00416629"/>
    <w:rsid w:val="00423117"/>
    <w:rsid w:val="00426569"/>
    <w:rsid w:val="00426D8C"/>
    <w:rsid w:val="00443C7A"/>
    <w:rsid w:val="004452BA"/>
    <w:rsid w:val="00451221"/>
    <w:rsid w:val="00453929"/>
    <w:rsid w:val="004555F7"/>
    <w:rsid w:val="00462CFD"/>
    <w:rsid w:val="00464EA7"/>
    <w:rsid w:val="004651A5"/>
    <w:rsid w:val="004767D7"/>
    <w:rsid w:val="00477E3F"/>
    <w:rsid w:val="0048060F"/>
    <w:rsid w:val="0048122B"/>
    <w:rsid w:val="00484916"/>
    <w:rsid w:val="004861A7"/>
    <w:rsid w:val="0048758B"/>
    <w:rsid w:val="00491A67"/>
    <w:rsid w:val="00492C50"/>
    <w:rsid w:val="004A4904"/>
    <w:rsid w:val="004C539E"/>
    <w:rsid w:val="004D0617"/>
    <w:rsid w:val="004D3EF9"/>
    <w:rsid w:val="004D53A9"/>
    <w:rsid w:val="004E459E"/>
    <w:rsid w:val="004E704D"/>
    <w:rsid w:val="004E7222"/>
    <w:rsid w:val="004F1399"/>
    <w:rsid w:val="004F7523"/>
    <w:rsid w:val="005002D8"/>
    <w:rsid w:val="00506B17"/>
    <w:rsid w:val="00507EB8"/>
    <w:rsid w:val="00520269"/>
    <w:rsid w:val="0052080E"/>
    <w:rsid w:val="005344CB"/>
    <w:rsid w:val="00535A1F"/>
    <w:rsid w:val="005479C8"/>
    <w:rsid w:val="00547E1C"/>
    <w:rsid w:val="005504E6"/>
    <w:rsid w:val="0055479D"/>
    <w:rsid w:val="005567EF"/>
    <w:rsid w:val="00567477"/>
    <w:rsid w:val="0057565D"/>
    <w:rsid w:val="005764AD"/>
    <w:rsid w:val="0058033D"/>
    <w:rsid w:val="00582F7D"/>
    <w:rsid w:val="00587700"/>
    <w:rsid w:val="005A539D"/>
    <w:rsid w:val="005A56AE"/>
    <w:rsid w:val="005A5FF6"/>
    <w:rsid w:val="005A697D"/>
    <w:rsid w:val="005B2564"/>
    <w:rsid w:val="005B6389"/>
    <w:rsid w:val="005C011B"/>
    <w:rsid w:val="005C16B2"/>
    <w:rsid w:val="005D5D19"/>
    <w:rsid w:val="005D614B"/>
    <w:rsid w:val="005D77D7"/>
    <w:rsid w:val="005E3D19"/>
    <w:rsid w:val="005E4E84"/>
    <w:rsid w:val="00607729"/>
    <w:rsid w:val="006126FE"/>
    <w:rsid w:val="00613CE9"/>
    <w:rsid w:val="006413A3"/>
    <w:rsid w:val="00642F29"/>
    <w:rsid w:val="006432C4"/>
    <w:rsid w:val="00644994"/>
    <w:rsid w:val="00650F34"/>
    <w:rsid w:val="0065606B"/>
    <w:rsid w:val="0065759C"/>
    <w:rsid w:val="00661A8D"/>
    <w:rsid w:val="006707FE"/>
    <w:rsid w:val="0067611E"/>
    <w:rsid w:val="006853C8"/>
    <w:rsid w:val="00693C3F"/>
    <w:rsid w:val="006955F5"/>
    <w:rsid w:val="006A2179"/>
    <w:rsid w:val="006A24F1"/>
    <w:rsid w:val="006B5BB6"/>
    <w:rsid w:val="006C16A7"/>
    <w:rsid w:val="006C1733"/>
    <w:rsid w:val="006D2064"/>
    <w:rsid w:val="006D4934"/>
    <w:rsid w:val="006D5766"/>
    <w:rsid w:val="006F421E"/>
    <w:rsid w:val="006F662D"/>
    <w:rsid w:val="006F7336"/>
    <w:rsid w:val="007040B0"/>
    <w:rsid w:val="007056A8"/>
    <w:rsid w:val="00705E01"/>
    <w:rsid w:val="00710B89"/>
    <w:rsid w:val="00715AD3"/>
    <w:rsid w:val="00716B53"/>
    <w:rsid w:val="0072102A"/>
    <w:rsid w:val="0072725D"/>
    <w:rsid w:val="00727DD9"/>
    <w:rsid w:val="0073004D"/>
    <w:rsid w:val="0073428A"/>
    <w:rsid w:val="007365E4"/>
    <w:rsid w:val="00753753"/>
    <w:rsid w:val="007538EE"/>
    <w:rsid w:val="00764220"/>
    <w:rsid w:val="00774E81"/>
    <w:rsid w:val="0078764B"/>
    <w:rsid w:val="0079238C"/>
    <w:rsid w:val="0079396D"/>
    <w:rsid w:val="00793F18"/>
    <w:rsid w:val="00795109"/>
    <w:rsid w:val="007A0451"/>
    <w:rsid w:val="007B2D27"/>
    <w:rsid w:val="007C0828"/>
    <w:rsid w:val="007C3F70"/>
    <w:rsid w:val="007C4C7A"/>
    <w:rsid w:val="007D5451"/>
    <w:rsid w:val="007D76B6"/>
    <w:rsid w:val="007E2B9D"/>
    <w:rsid w:val="007E6A15"/>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7666E"/>
    <w:rsid w:val="00880022"/>
    <w:rsid w:val="0088741C"/>
    <w:rsid w:val="008875A4"/>
    <w:rsid w:val="00890D25"/>
    <w:rsid w:val="00896BC2"/>
    <w:rsid w:val="008B2200"/>
    <w:rsid w:val="008B689B"/>
    <w:rsid w:val="008C2693"/>
    <w:rsid w:val="008E477C"/>
    <w:rsid w:val="008F2CAF"/>
    <w:rsid w:val="00902EA3"/>
    <w:rsid w:val="0090431A"/>
    <w:rsid w:val="009076EA"/>
    <w:rsid w:val="00910C5D"/>
    <w:rsid w:val="00911F7D"/>
    <w:rsid w:val="00913B2E"/>
    <w:rsid w:val="00915DD8"/>
    <w:rsid w:val="009205FC"/>
    <w:rsid w:val="009245A3"/>
    <w:rsid w:val="00932225"/>
    <w:rsid w:val="00932353"/>
    <w:rsid w:val="00946CB6"/>
    <w:rsid w:val="009573AC"/>
    <w:rsid w:val="00970C56"/>
    <w:rsid w:val="0097433A"/>
    <w:rsid w:val="00976708"/>
    <w:rsid w:val="0098226A"/>
    <w:rsid w:val="009823A9"/>
    <w:rsid w:val="009836F0"/>
    <w:rsid w:val="00983853"/>
    <w:rsid w:val="009849FB"/>
    <w:rsid w:val="0098621A"/>
    <w:rsid w:val="00993AA4"/>
    <w:rsid w:val="009B0E2C"/>
    <w:rsid w:val="009B796F"/>
    <w:rsid w:val="009C40A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278D9"/>
    <w:rsid w:val="00A35C7F"/>
    <w:rsid w:val="00A3778A"/>
    <w:rsid w:val="00A37970"/>
    <w:rsid w:val="00A44A15"/>
    <w:rsid w:val="00A51A67"/>
    <w:rsid w:val="00A52343"/>
    <w:rsid w:val="00A546C2"/>
    <w:rsid w:val="00A54EAE"/>
    <w:rsid w:val="00A56181"/>
    <w:rsid w:val="00A57B51"/>
    <w:rsid w:val="00A631B1"/>
    <w:rsid w:val="00A71293"/>
    <w:rsid w:val="00A71CB7"/>
    <w:rsid w:val="00A72FFF"/>
    <w:rsid w:val="00A73B4E"/>
    <w:rsid w:val="00A74660"/>
    <w:rsid w:val="00A80861"/>
    <w:rsid w:val="00A829A2"/>
    <w:rsid w:val="00A83F45"/>
    <w:rsid w:val="00A849B8"/>
    <w:rsid w:val="00A86FCA"/>
    <w:rsid w:val="00A90460"/>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674B"/>
    <w:rsid w:val="00BC1804"/>
    <w:rsid w:val="00BC7577"/>
    <w:rsid w:val="00BD13A8"/>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1DD4"/>
    <w:rsid w:val="00C5517C"/>
    <w:rsid w:val="00C62C3A"/>
    <w:rsid w:val="00C657FA"/>
    <w:rsid w:val="00C73B42"/>
    <w:rsid w:val="00C93159"/>
    <w:rsid w:val="00C96025"/>
    <w:rsid w:val="00CA397B"/>
    <w:rsid w:val="00CA426C"/>
    <w:rsid w:val="00CB2251"/>
    <w:rsid w:val="00CB27C3"/>
    <w:rsid w:val="00CB2938"/>
    <w:rsid w:val="00CB29C6"/>
    <w:rsid w:val="00CB462E"/>
    <w:rsid w:val="00CB4A74"/>
    <w:rsid w:val="00CC24FE"/>
    <w:rsid w:val="00CC70FB"/>
    <w:rsid w:val="00CE55AC"/>
    <w:rsid w:val="00D13BC3"/>
    <w:rsid w:val="00D14F03"/>
    <w:rsid w:val="00D409BB"/>
    <w:rsid w:val="00D4158C"/>
    <w:rsid w:val="00D5007A"/>
    <w:rsid w:val="00D5598B"/>
    <w:rsid w:val="00D56BD0"/>
    <w:rsid w:val="00D63679"/>
    <w:rsid w:val="00D661F2"/>
    <w:rsid w:val="00D6725D"/>
    <w:rsid w:val="00D71A2E"/>
    <w:rsid w:val="00D731FC"/>
    <w:rsid w:val="00D80973"/>
    <w:rsid w:val="00DA05AB"/>
    <w:rsid w:val="00DB33F0"/>
    <w:rsid w:val="00DB3708"/>
    <w:rsid w:val="00DB4C4A"/>
    <w:rsid w:val="00DC32E7"/>
    <w:rsid w:val="00DC397E"/>
    <w:rsid w:val="00DD56E4"/>
    <w:rsid w:val="00DE76F1"/>
    <w:rsid w:val="00E004F9"/>
    <w:rsid w:val="00E03DF8"/>
    <w:rsid w:val="00E21168"/>
    <w:rsid w:val="00E23547"/>
    <w:rsid w:val="00E26E63"/>
    <w:rsid w:val="00E336C0"/>
    <w:rsid w:val="00E40EE7"/>
    <w:rsid w:val="00E457D7"/>
    <w:rsid w:val="00E46527"/>
    <w:rsid w:val="00E52687"/>
    <w:rsid w:val="00E569E4"/>
    <w:rsid w:val="00E60CF7"/>
    <w:rsid w:val="00E60DF3"/>
    <w:rsid w:val="00E6642D"/>
    <w:rsid w:val="00E745ED"/>
    <w:rsid w:val="00E77E2B"/>
    <w:rsid w:val="00E8120B"/>
    <w:rsid w:val="00E81E0A"/>
    <w:rsid w:val="00E846BA"/>
    <w:rsid w:val="00E85951"/>
    <w:rsid w:val="00E86C47"/>
    <w:rsid w:val="00E92CC7"/>
    <w:rsid w:val="00E93D45"/>
    <w:rsid w:val="00EA220D"/>
    <w:rsid w:val="00EA4712"/>
    <w:rsid w:val="00EA652C"/>
    <w:rsid w:val="00EB0731"/>
    <w:rsid w:val="00EB2526"/>
    <w:rsid w:val="00EC320D"/>
    <w:rsid w:val="00EC4DA4"/>
    <w:rsid w:val="00EC6379"/>
    <w:rsid w:val="00ED507C"/>
    <w:rsid w:val="00EE106D"/>
    <w:rsid w:val="00EE38CD"/>
    <w:rsid w:val="00EE6D2C"/>
    <w:rsid w:val="00EE72D7"/>
    <w:rsid w:val="00F0134F"/>
    <w:rsid w:val="00F0312E"/>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332E"/>
    <w:rsid w:val="00FD5AF0"/>
    <w:rsid w:val="00FD7838"/>
    <w:rsid w:val="00FD7E55"/>
    <w:rsid w:val="00FE1360"/>
    <w:rsid w:val="00FE497C"/>
    <w:rsid w:val="00FE6ED4"/>
    <w:rsid w:val="00FE70B2"/>
    <w:rsid w:val="00FE7398"/>
    <w:rsid w:val="077325DB"/>
    <w:rsid w:val="1CD05614"/>
    <w:rsid w:val="20394CBE"/>
    <w:rsid w:val="2858373E"/>
    <w:rsid w:val="3E826CBF"/>
    <w:rsid w:val="55192A8C"/>
    <w:rsid w:val="66256066"/>
    <w:rsid w:val="6694147E"/>
    <w:rsid w:val="6DE95B38"/>
    <w:rsid w:val="70D15F0E"/>
    <w:rsid w:val="7EE272A7"/>
    <w:rsid w:val="F7983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uiPriority w:val="1"/>
  </w:style>
  <w:style w:type="table" w:default="1" w:styleId="10">
    <w:name w:val="Normal Table"/>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customStyle="1"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358</Words>
  <Characters>2043</Characters>
  <Lines>17</Lines>
  <Paragraphs>4</Paragraphs>
  <TotalTime>0</TotalTime>
  <ScaleCrop>false</ScaleCrop>
  <LinksUpToDate>false</LinksUpToDate>
  <CharactersWithSpaces>2397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2021-01-21T18:28:00Z</dcterms:created>
  <dc:creator>雨林木风</dc:creator>
  <cp:lastModifiedBy>ylb</cp:lastModifiedBy>
  <cp:lastPrinted>2012-10-11T16:46:00Z</cp:lastPrinted>
  <dcterms:modified xsi:type="dcterms:W3CDTF">2021-02-21T06:17:02Z</dcterms:modified>
  <dc:title>No</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