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FAB62A" w14:textId="67FA59DA" w:rsidR="00FE1A53" w:rsidRDefault="0018565D">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18565D">
        <w:rPr>
          <w:rFonts w:ascii="微软雅黑" w:eastAsia="微软雅黑" w:hAnsi="微软雅黑" w:hint="eastAsia"/>
          <w:b/>
          <w:sz w:val="32"/>
          <w:szCs w:val="32"/>
        </w:rPr>
        <w:t>米洛氪</w:t>
      </w:r>
    </w:p>
    <w:p w14:paraId="701118DD" w14:textId="6F8962C0" w:rsidR="00FE1A53" w:rsidRDefault="00163C78" w:rsidP="0018565D">
      <w:pPr>
        <w:textAlignment w:val="baseline"/>
        <w:rPr>
          <w:rFonts w:ascii="微软雅黑" w:eastAsia="微软雅黑" w:hAnsi="微软雅黑"/>
          <w:b/>
        </w:rPr>
      </w:pPr>
      <w:r>
        <w:rPr>
          <w:rFonts w:ascii="微软雅黑" w:eastAsia="微软雅黑" w:hAnsi="微软雅黑" w:hint="eastAsia"/>
          <w:b/>
        </w:rPr>
        <w:t>官方网址：</w:t>
      </w:r>
      <w:hyperlink r:id="rId9" w:history="1">
        <w:r w:rsidRPr="0018565D">
          <w:rPr>
            <w:rStyle w:val="af"/>
            <w:rFonts w:ascii="微软雅黑" w:eastAsia="微软雅黑" w:hAnsi="微软雅黑" w:hint="eastAsia"/>
            <w:bCs/>
          </w:rPr>
          <w:t>www.miroqlo.com</w:t>
        </w:r>
      </w:hyperlink>
    </w:p>
    <w:p w14:paraId="2E784783" w14:textId="7657EB54" w:rsidR="00FE1A53" w:rsidRDefault="00163C78">
      <w:pPr>
        <w:rPr>
          <w:rFonts w:ascii="微软雅黑" w:eastAsia="微软雅黑" w:hAnsi="微软雅黑" w:hint="eastAsia"/>
        </w:rPr>
      </w:pPr>
      <w:r>
        <w:rPr>
          <w:rFonts w:ascii="微软雅黑" w:eastAsia="微软雅黑" w:hAnsi="微软雅黑" w:hint="eastAsia"/>
          <w:b/>
        </w:rPr>
        <w:t>参选类别：</w:t>
      </w:r>
      <w:r w:rsidR="0018565D" w:rsidRPr="0018565D">
        <w:rPr>
          <w:rFonts w:ascii="微软雅黑" w:eastAsia="微软雅黑" w:hAnsi="微软雅黑" w:hint="eastAsia"/>
          <w:bCs/>
        </w:rPr>
        <w:t>年度数字营销创新力代理公司</w:t>
      </w:r>
    </w:p>
    <w:p w14:paraId="7B0FE8F4" w14:textId="77777777" w:rsidR="00C95793" w:rsidRDefault="00163C78" w:rsidP="0018565D">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b/>
          <w:color w:val="0000FF"/>
          <w:sz w:val="28"/>
          <w:szCs w:val="24"/>
        </w:rPr>
        <w:t>公司简介及核心优势</w:t>
      </w:r>
    </w:p>
    <w:p w14:paraId="419D4AA0" w14:textId="3FAD6BDE" w:rsidR="00FE1A53" w:rsidRPr="00C95793" w:rsidRDefault="00163C78" w:rsidP="0018565D">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rPr>
        <w:t>DT时代，品牌正面临数字化转型的迫切需要。品牌的数字化转型，一般需要经历业务数据化、数据资产化及资产价值化的三个阶段。而当中“品牌数字资产价值化”尤为关键，也决定了整个数字化转型的成败。在这不可逆的数字化转型大潮中，米洛氪以品牌的长期可持续增长为己任，以成为“品牌数字化增长解决方案领导者”为愿景，为品牌增长保驾护航。</w:t>
      </w:r>
    </w:p>
    <w:p w14:paraId="4A44BB82" w14:textId="77777777" w:rsidR="00FE1A53" w:rsidRDefault="00163C78" w:rsidP="0018565D">
      <w:pPr>
        <w:spacing w:before="100" w:beforeAutospacing="1" w:after="100" w:afterAutospacing="1"/>
        <w:rPr>
          <w:rFonts w:ascii="微软雅黑" w:eastAsia="微软雅黑" w:hAnsi="微软雅黑"/>
        </w:rPr>
      </w:pPr>
      <w:r>
        <w:rPr>
          <w:rFonts w:ascii="微软雅黑" w:eastAsia="微软雅黑" w:hAnsi="微软雅黑" w:hint="eastAsia"/>
        </w:rPr>
        <w:t>米洛氪，同英文“奇迹MIRACLE”，初生之时就立志通过数据及技术的力量，帮助品牌弄清人-货-场的变化关系，提升品牌的生意份额及心智份额，为品牌带来长期可持续发展的“奇迹”动力。</w:t>
      </w:r>
    </w:p>
    <w:p w14:paraId="7A51F06D" w14:textId="2C68D985" w:rsidR="00FE1A53" w:rsidRDefault="00163C78" w:rsidP="0018565D">
      <w:pPr>
        <w:spacing w:before="100" w:beforeAutospacing="1" w:after="100" w:afterAutospacing="1"/>
        <w:rPr>
          <w:rFonts w:ascii="微软雅黑" w:eastAsia="微软雅黑" w:hAnsi="微软雅黑"/>
        </w:rPr>
      </w:pPr>
      <w:r>
        <w:rPr>
          <w:rFonts w:ascii="微软雅黑" w:eastAsia="微软雅黑" w:hAnsi="微软雅黑" w:hint="eastAsia"/>
        </w:rPr>
        <w:t>米洛氪提供全域范围的消费者运营全域提升解决方案，拉通消费者运营及全域媒体触达能力，真正实现品效销合一。我们能定制一站式解决方案，提供端到端&amp;全方位业务覆盖确保项目计划与执行无缝衔接；且是华南区域核心认证数据运营商，具备深度及专业的数据分析及洞察能力，受到平台各BU认可及专业认证；拥有多元化服务团队，团队成员源于阿里及京东成熟体系，拥有丰富的快消及服饰行业经验。</w:t>
      </w:r>
    </w:p>
    <w:p w14:paraId="34817FA8" w14:textId="77777777" w:rsidR="00FE1A53" w:rsidRDefault="00163C78" w:rsidP="0018565D">
      <w:pPr>
        <w:spacing w:before="100" w:beforeAutospacing="1" w:after="100" w:afterAutospacing="1"/>
        <w:rPr>
          <w:rFonts w:ascii="微软雅黑" w:eastAsia="微软雅黑" w:hAnsi="微软雅黑"/>
        </w:rPr>
      </w:pPr>
      <w:r>
        <w:rPr>
          <w:noProof/>
        </w:rPr>
        <w:drawing>
          <wp:inline distT="0" distB="0" distL="114300" distR="114300" wp14:anchorId="758EB8F2" wp14:editId="7F5A0DF4">
            <wp:extent cx="5717540" cy="3208020"/>
            <wp:effectExtent l="0" t="0" r="1270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717540" cy="3208020"/>
                    </a:xfrm>
                    <a:prstGeom prst="rect">
                      <a:avLst/>
                    </a:prstGeom>
                    <a:noFill/>
                    <a:ln>
                      <a:noFill/>
                    </a:ln>
                  </pic:spPr>
                </pic:pic>
              </a:graphicData>
            </a:graphic>
          </wp:inline>
        </w:drawing>
      </w:r>
    </w:p>
    <w:p w14:paraId="31B6E8AB" w14:textId="77777777" w:rsidR="00FE1A53" w:rsidRDefault="00163C78" w:rsidP="0018565D">
      <w:pPr>
        <w:spacing w:before="100" w:beforeAutospacing="1" w:after="100" w:afterAutospacing="1"/>
        <w:rPr>
          <w:rFonts w:ascii="微软雅黑" w:eastAsia="微软雅黑" w:hAnsi="微软雅黑"/>
        </w:rPr>
      </w:pPr>
      <w:r>
        <w:rPr>
          <w:rFonts w:ascii="微软雅黑" w:eastAsia="微软雅黑" w:hAnsi="微软雅黑" w:hint="eastAsia"/>
        </w:rPr>
        <w:t>米洛氪整合了集团内外部的精英及专业力量，为品牌构建从全域数据中台建设、大数据市场及消费者分析、品牌增长策略咨询、全域营销规划及推广等一站式服务，为品牌增长保驾护航。</w:t>
      </w:r>
    </w:p>
    <w:p w14:paraId="5108B9DE" w14:textId="241738EF" w:rsidR="00FE1A53" w:rsidRDefault="00C95793" w:rsidP="0018565D">
      <w:pPr>
        <w:spacing w:before="100" w:beforeAutospacing="1" w:after="100" w:afterAutospacing="1"/>
        <w:rPr>
          <w:rFonts w:ascii="微软雅黑" w:eastAsia="微软雅黑" w:hAnsi="微软雅黑"/>
        </w:rPr>
      </w:pPr>
      <w:r>
        <w:rPr>
          <w:rFonts w:ascii="微软雅黑" w:eastAsia="微软雅黑" w:hAnsi="微软雅黑" w:hint="eastAsia"/>
        </w:rPr>
        <w:t>1、</w:t>
      </w:r>
      <w:r w:rsidR="00163C78">
        <w:rPr>
          <w:rFonts w:ascii="微软雅黑" w:eastAsia="微软雅黑" w:hAnsi="微软雅黑" w:hint="eastAsia"/>
        </w:rPr>
        <w:t>大数据市场监测：融合主流电商及营销平台等外部互联网数据，为各行业提供匹配且可落地的数</w:t>
      </w:r>
      <w:r w:rsidR="00163C78">
        <w:rPr>
          <w:rFonts w:ascii="微软雅黑" w:eastAsia="微软雅黑" w:hAnsi="微软雅黑" w:hint="eastAsia"/>
        </w:rPr>
        <w:lastRenderedPageBreak/>
        <w:t>据采集及市场监测解决方案。</w:t>
      </w:r>
    </w:p>
    <w:p w14:paraId="56CF5A01" w14:textId="73253928" w:rsidR="00FE1A53" w:rsidRDefault="00C95793" w:rsidP="0018565D">
      <w:pPr>
        <w:spacing w:before="100" w:beforeAutospacing="1" w:after="100" w:afterAutospacing="1"/>
        <w:rPr>
          <w:rFonts w:ascii="微软雅黑" w:eastAsia="微软雅黑" w:hAnsi="微软雅黑"/>
        </w:rPr>
      </w:pPr>
      <w:r>
        <w:rPr>
          <w:rFonts w:ascii="微软雅黑" w:eastAsia="微软雅黑" w:hAnsi="微软雅黑"/>
        </w:rPr>
        <w:t>2</w:t>
      </w:r>
      <w:r>
        <w:rPr>
          <w:rFonts w:ascii="微软雅黑" w:eastAsia="微软雅黑" w:hAnsi="微软雅黑" w:hint="eastAsia"/>
        </w:rPr>
        <w:t>、</w:t>
      </w:r>
      <w:r w:rsidR="00163C78">
        <w:rPr>
          <w:rFonts w:ascii="微软雅黑" w:eastAsia="微软雅黑" w:hAnsi="微软雅黑" w:hint="eastAsia"/>
        </w:rPr>
        <w:t>大数据市场研究：应用天猫全数据库及氪云数据，对品牌所处的行业/竞对/产品/媒介/社交等进行全方位的研究及洞察。</w:t>
      </w:r>
    </w:p>
    <w:p w14:paraId="6BBCC8D4" w14:textId="2CD2C7E4" w:rsidR="00FE1A53" w:rsidRDefault="00C95793" w:rsidP="0018565D">
      <w:pPr>
        <w:spacing w:before="100" w:beforeAutospacing="1" w:after="100" w:afterAutospacing="1"/>
        <w:rPr>
          <w:rFonts w:ascii="微软雅黑" w:eastAsia="微软雅黑" w:hAnsi="微软雅黑"/>
        </w:rPr>
      </w:pPr>
      <w:r>
        <w:rPr>
          <w:rFonts w:ascii="微软雅黑" w:eastAsia="微软雅黑" w:hAnsi="微软雅黑"/>
        </w:rPr>
        <w:t>3</w:t>
      </w:r>
      <w:r>
        <w:rPr>
          <w:rFonts w:ascii="微软雅黑" w:eastAsia="微软雅黑" w:hAnsi="微软雅黑" w:hint="eastAsia"/>
        </w:rPr>
        <w:t>、</w:t>
      </w:r>
      <w:r w:rsidR="00163C78">
        <w:rPr>
          <w:rFonts w:ascii="微软雅黑" w:eastAsia="微软雅黑" w:hAnsi="微软雅黑"/>
        </w:rPr>
        <w:t>品牌增长策略咨询</w:t>
      </w:r>
      <w:r w:rsidR="00163C78">
        <w:rPr>
          <w:rFonts w:ascii="微软雅黑" w:eastAsia="微软雅黑" w:hAnsi="微软雅黑" w:hint="eastAsia"/>
        </w:rPr>
        <w:t>：针对品牌的长期及中短期需求，通过天猫全数据库及氪云数据探测品牌在人-货-场上的增长机会，并给与相应的策略方案。</w:t>
      </w:r>
    </w:p>
    <w:p w14:paraId="4C69C6AF" w14:textId="41E5E728" w:rsidR="00FE1A53" w:rsidRPr="00C95793" w:rsidRDefault="00C95793" w:rsidP="0018565D">
      <w:pPr>
        <w:spacing w:before="100" w:beforeAutospacing="1" w:after="100" w:afterAutospacing="1"/>
        <w:rPr>
          <w:rFonts w:ascii="微软雅黑" w:eastAsia="微软雅黑" w:hAnsi="微软雅黑"/>
        </w:rPr>
      </w:pPr>
      <w:r>
        <w:rPr>
          <w:rFonts w:ascii="微软雅黑" w:eastAsia="微软雅黑" w:hAnsi="微软雅黑"/>
        </w:rPr>
        <w:t>4</w:t>
      </w:r>
      <w:r>
        <w:rPr>
          <w:rFonts w:ascii="微软雅黑" w:eastAsia="微软雅黑" w:hAnsi="微软雅黑" w:hint="eastAsia"/>
        </w:rPr>
        <w:t>、</w:t>
      </w:r>
      <w:r w:rsidR="00163C78">
        <w:rPr>
          <w:rFonts w:ascii="微软雅黑" w:eastAsia="微软雅黑" w:hAnsi="微软雅黑"/>
        </w:rPr>
        <w:t>全域营销及推广</w:t>
      </w:r>
      <w:r w:rsidR="00163C78">
        <w:rPr>
          <w:rFonts w:ascii="微软雅黑" w:eastAsia="微软雅黑" w:hAnsi="微软雅黑" w:hint="eastAsia"/>
        </w:rPr>
        <w:t>：应用天猫全数据库及氪云数据，指导、规划并落地全域范围营销投放，并实时监控及过程调优，最终实现品效合一。</w:t>
      </w:r>
    </w:p>
    <w:p w14:paraId="10F7F3DB" w14:textId="77777777" w:rsidR="00FE1A53" w:rsidRDefault="00163C78" w:rsidP="0018565D">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数字营销领域突出成绩</w:t>
      </w:r>
    </w:p>
    <w:p w14:paraId="1352C897" w14:textId="2BE1D1AF" w:rsidR="00FE1A53" w:rsidRDefault="00163C78" w:rsidP="0018565D">
      <w:pPr>
        <w:spacing w:before="100" w:beforeAutospacing="1" w:after="100" w:afterAutospacing="1"/>
        <w:rPr>
          <w:rFonts w:ascii="微软雅黑" w:eastAsia="微软雅黑" w:hAnsi="微软雅黑"/>
        </w:rPr>
      </w:pPr>
      <w:r>
        <w:rPr>
          <w:rFonts w:ascii="微软雅黑" w:eastAsia="微软雅黑" w:hAnsi="微软雅黑" w:hint="eastAsia"/>
        </w:rPr>
        <w:t>米洛氪成立至今，一直专注于以数据驱动为核心，为各品牌实现数字资产价值化而深耕，让品牌在营销的路上更加有根有据，以数据分析为依据，形成一套有效贯穿品牌战略的策略方法论。此外，还把相应的策略方法论进行落地，结合创新的营销方式，以数据为理论核心，营销为落地抓手，协同各大品牌团队打造精彩的案例。米洛氪目前拥有超三十名资深数据银行分析师、超十名高级消费者运营咨询顾问以及数据营销专家，为超二十家品牌进行相应的营销服务。</w:t>
      </w:r>
    </w:p>
    <w:p w14:paraId="39895DF8" w14:textId="1135EC7C" w:rsidR="00FE1A53" w:rsidRDefault="00163C78" w:rsidP="0018565D">
      <w:pPr>
        <w:spacing w:before="100" w:beforeAutospacing="1" w:after="100" w:afterAutospacing="1"/>
        <w:rPr>
          <w:rFonts w:ascii="微软雅黑" w:eastAsia="微软雅黑" w:hAnsi="微软雅黑"/>
        </w:rPr>
      </w:pPr>
      <w:r>
        <w:rPr>
          <w:rFonts w:ascii="微软雅黑" w:eastAsia="微软雅黑" w:hAnsi="微软雅黑" w:hint="eastAsia"/>
        </w:rPr>
        <w:t>在2020年期间，米洛氪通过大数据赋能，为自然堂、汉高、华润三九、狮王等品牌客户的消费者资产带来了数倍增长，通过全域智投、营销策略中心结合数据银行及策略中心为品牌实现消费者高效流转，流转率高达60%以上。同时利用了会员黄金象限的模型结合各媒体触点转化模型，为品牌制定相应的营销媒介策略，实现高价值人群强收割。</w:t>
      </w:r>
    </w:p>
    <w:p w14:paraId="03976FA5" w14:textId="3BEAC5CA" w:rsidR="00FE1A53" w:rsidRPr="0018565D" w:rsidRDefault="00163C78" w:rsidP="0018565D">
      <w:pPr>
        <w:spacing w:before="100" w:beforeAutospacing="1" w:after="100" w:afterAutospacing="1"/>
        <w:rPr>
          <w:rFonts w:ascii="微软雅黑" w:eastAsia="微软雅黑" w:hAnsi="微软雅黑"/>
        </w:rPr>
      </w:pPr>
      <w:r>
        <w:rPr>
          <w:rFonts w:ascii="微软雅黑" w:eastAsia="微软雅黑" w:hAnsi="微软雅黑" w:hint="eastAsia"/>
        </w:rPr>
        <w:t>2020年8月开始，米洛氪为华润三九打造阿里生态圈的全链路闭环营销思路，帮助品牌实现消费者数倍增长，并且会员活跃率提升了200%+，达到了历史最高水平。除此之外，跟品牌共同创建了传统品类的全新玩法且在阿里电商平台占据了一席之地。基于全新营销思路的打通，品牌在阿里销售上达到了过亿的销售量级。</w:t>
      </w:r>
    </w:p>
    <w:p w14:paraId="63A2BE05" w14:textId="77777777" w:rsidR="00FE1A53" w:rsidRDefault="00163C78" w:rsidP="0018565D">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服务的主要客户</w:t>
      </w:r>
    </w:p>
    <w:p w14:paraId="6A66671D" w14:textId="05F18984" w:rsidR="00FE1A53" w:rsidRPr="00C95793" w:rsidRDefault="00163C78" w:rsidP="0018565D">
      <w:pPr>
        <w:spacing w:before="100" w:beforeAutospacing="1" w:after="100" w:afterAutospacing="1"/>
        <w:jc w:val="left"/>
        <w:rPr>
          <w:rFonts w:ascii="微软雅黑" w:eastAsia="微软雅黑" w:hAnsi="微软雅黑"/>
        </w:rPr>
      </w:pPr>
      <w:r>
        <w:rPr>
          <w:rFonts w:ascii="微软雅黑" w:eastAsia="微软雅黑" w:hAnsi="微软雅黑" w:hint="eastAsia"/>
        </w:rPr>
        <w:t>自然堂，华润三九，汉高，狮王，施巴，MO&amp;CO，来伊份，NORTHLAND，天美意，TRENDIANO，足力健</w:t>
      </w:r>
    </w:p>
    <w:sectPr w:rsidR="00FE1A53" w:rsidRPr="00C95793">
      <w:headerReference w:type="even" r:id="rId11"/>
      <w:headerReference w:type="default" r:id="rId12"/>
      <w:footerReference w:type="even" r:id="rId13"/>
      <w:footerReference w:type="default" r:id="rId14"/>
      <w:headerReference w:type="first" r:id="rId15"/>
      <w:footerReference w:type="first" r:id="rId16"/>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0AD69" w14:textId="77777777" w:rsidR="00506955" w:rsidRDefault="00506955">
      <w:r>
        <w:separator/>
      </w:r>
    </w:p>
  </w:endnote>
  <w:endnote w:type="continuationSeparator" w:id="0">
    <w:p w14:paraId="4639F901" w14:textId="77777777" w:rsidR="00506955" w:rsidRDefault="0050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0B5E" w14:textId="77777777" w:rsidR="00FE1A53" w:rsidRDefault="00163C78">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0750F18A" w14:textId="77777777" w:rsidR="00FE1A53" w:rsidRDefault="00FE1A5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0ACD" w14:textId="77777777" w:rsidR="00FE1A53" w:rsidRDefault="00FE1A53">
    <w:pPr>
      <w:pStyle w:val="a7"/>
      <w:framePr w:wrap="around" w:vAnchor="text" w:hAnchor="margin" w:xAlign="right" w:y="1"/>
      <w:rPr>
        <w:rStyle w:val="ad"/>
      </w:rPr>
    </w:pPr>
  </w:p>
  <w:p w14:paraId="7C21356F" w14:textId="77777777" w:rsidR="00FE1A53" w:rsidRDefault="00FE1A53">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3C6F" w14:textId="77777777" w:rsidR="00C95793" w:rsidRDefault="00C957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21E89" w14:textId="77777777" w:rsidR="00506955" w:rsidRDefault="00506955">
      <w:r>
        <w:separator/>
      </w:r>
    </w:p>
  </w:footnote>
  <w:footnote w:type="continuationSeparator" w:id="0">
    <w:p w14:paraId="04A0B5D9" w14:textId="77777777" w:rsidR="00506955" w:rsidRDefault="0050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1972" w14:textId="77777777" w:rsidR="00C95793" w:rsidRDefault="00C9579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61D8" w14:textId="77777777" w:rsidR="00FE1A53" w:rsidRDefault="00163C78">
    <w:pPr>
      <w:pStyle w:val="a8"/>
      <w:jc w:val="both"/>
      <w:rPr>
        <w:rFonts w:ascii="微软雅黑" w:eastAsia="微软雅黑" w:hAnsi="微软雅黑"/>
        <w:sz w:val="21"/>
      </w:rPr>
    </w:pPr>
    <w:r>
      <w:rPr>
        <w:b/>
        <w:noProof/>
        <w:color w:val="333333"/>
        <w:sz w:val="21"/>
      </w:rPr>
      <w:drawing>
        <wp:inline distT="0" distB="0" distL="0" distR="0" wp14:anchorId="31C507DE" wp14:editId="6ECBAC68">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E41F" w14:textId="77777777" w:rsidR="00C95793" w:rsidRDefault="00C9579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4F1D"/>
    <w:rsid w:val="00044F04"/>
    <w:rsid w:val="000532E1"/>
    <w:rsid w:val="00056791"/>
    <w:rsid w:val="0006079A"/>
    <w:rsid w:val="000631F9"/>
    <w:rsid w:val="00064A6F"/>
    <w:rsid w:val="00071CE5"/>
    <w:rsid w:val="00077EC5"/>
    <w:rsid w:val="0008523E"/>
    <w:rsid w:val="000879B8"/>
    <w:rsid w:val="000915E6"/>
    <w:rsid w:val="00097129"/>
    <w:rsid w:val="000979A5"/>
    <w:rsid w:val="000B0AC3"/>
    <w:rsid w:val="000D05FE"/>
    <w:rsid w:val="000E18A5"/>
    <w:rsid w:val="000E2A45"/>
    <w:rsid w:val="000F48B5"/>
    <w:rsid w:val="000F5168"/>
    <w:rsid w:val="000F63B2"/>
    <w:rsid w:val="00105103"/>
    <w:rsid w:val="00111D51"/>
    <w:rsid w:val="00112736"/>
    <w:rsid w:val="00112AAF"/>
    <w:rsid w:val="00114DD5"/>
    <w:rsid w:val="001265C9"/>
    <w:rsid w:val="00131A61"/>
    <w:rsid w:val="001464CD"/>
    <w:rsid w:val="00146A94"/>
    <w:rsid w:val="001540DA"/>
    <w:rsid w:val="001562B1"/>
    <w:rsid w:val="0016260F"/>
    <w:rsid w:val="001628EA"/>
    <w:rsid w:val="00163C78"/>
    <w:rsid w:val="00172A27"/>
    <w:rsid w:val="001731D8"/>
    <w:rsid w:val="00176817"/>
    <w:rsid w:val="00180451"/>
    <w:rsid w:val="00180E4E"/>
    <w:rsid w:val="00183D4F"/>
    <w:rsid w:val="00184006"/>
    <w:rsid w:val="0018565D"/>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06543"/>
    <w:rsid w:val="00311DCD"/>
    <w:rsid w:val="00317BD4"/>
    <w:rsid w:val="00320B24"/>
    <w:rsid w:val="00320EF4"/>
    <w:rsid w:val="003270C2"/>
    <w:rsid w:val="003313F0"/>
    <w:rsid w:val="00334623"/>
    <w:rsid w:val="00335092"/>
    <w:rsid w:val="0034514F"/>
    <w:rsid w:val="00361FEC"/>
    <w:rsid w:val="00362043"/>
    <w:rsid w:val="00371D9E"/>
    <w:rsid w:val="00371F8B"/>
    <w:rsid w:val="0038504C"/>
    <w:rsid w:val="00386E93"/>
    <w:rsid w:val="003A2FD7"/>
    <w:rsid w:val="003A3097"/>
    <w:rsid w:val="003A37CE"/>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15D8D"/>
    <w:rsid w:val="00423117"/>
    <w:rsid w:val="00426569"/>
    <w:rsid w:val="00443C7A"/>
    <w:rsid w:val="004452BA"/>
    <w:rsid w:val="00451221"/>
    <w:rsid w:val="004555F7"/>
    <w:rsid w:val="00456343"/>
    <w:rsid w:val="00462CFD"/>
    <w:rsid w:val="00466C8B"/>
    <w:rsid w:val="00470C6C"/>
    <w:rsid w:val="0048122B"/>
    <w:rsid w:val="004838CF"/>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06955"/>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221FF"/>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976E4"/>
    <w:rsid w:val="006A054F"/>
    <w:rsid w:val="006A24F1"/>
    <w:rsid w:val="006C07E9"/>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4757D"/>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5AFA"/>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95793"/>
    <w:rsid w:val="00CA426C"/>
    <w:rsid w:val="00CA7DE6"/>
    <w:rsid w:val="00CB2251"/>
    <w:rsid w:val="00CB2938"/>
    <w:rsid w:val="00CB462E"/>
    <w:rsid w:val="00CB4A74"/>
    <w:rsid w:val="00CC70FB"/>
    <w:rsid w:val="00CE55AC"/>
    <w:rsid w:val="00D13BC3"/>
    <w:rsid w:val="00D14F03"/>
    <w:rsid w:val="00D409BB"/>
    <w:rsid w:val="00D438D7"/>
    <w:rsid w:val="00D5007A"/>
    <w:rsid w:val="00D5598B"/>
    <w:rsid w:val="00D56BD0"/>
    <w:rsid w:val="00D63679"/>
    <w:rsid w:val="00D6725D"/>
    <w:rsid w:val="00D71A2E"/>
    <w:rsid w:val="00D731FC"/>
    <w:rsid w:val="00D80973"/>
    <w:rsid w:val="00DB3708"/>
    <w:rsid w:val="00DB60D1"/>
    <w:rsid w:val="00DC2FE4"/>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50B"/>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70360"/>
    <w:rsid w:val="00F853FB"/>
    <w:rsid w:val="00F85977"/>
    <w:rsid w:val="00FB3A22"/>
    <w:rsid w:val="00FB3C62"/>
    <w:rsid w:val="00FB6FEC"/>
    <w:rsid w:val="00FB78E0"/>
    <w:rsid w:val="00FC3853"/>
    <w:rsid w:val="00FC53DE"/>
    <w:rsid w:val="00FC629F"/>
    <w:rsid w:val="00FC7652"/>
    <w:rsid w:val="00FD2192"/>
    <w:rsid w:val="00FD7838"/>
    <w:rsid w:val="00FE1360"/>
    <w:rsid w:val="00FE1A53"/>
    <w:rsid w:val="00FE70B2"/>
    <w:rsid w:val="00FF40E7"/>
    <w:rsid w:val="039F3667"/>
    <w:rsid w:val="06DB799D"/>
    <w:rsid w:val="55F25587"/>
    <w:rsid w:val="731D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742D8"/>
  <w15:docId w15:val="{8F9F5891-5B73-E143-BF1F-2577BF98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paragraph" w:styleId="3">
    <w:name w:val="heading 3"/>
    <w:basedOn w:val="a"/>
    <w:next w:val="a"/>
    <w:uiPriority w:val="9"/>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Balloon Text"/>
    <w:basedOn w:val="a"/>
    <w:link w:val="a6"/>
    <w:uiPriority w:val="99"/>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Emphasis"/>
    <w:basedOn w:val="a0"/>
    <w:qFormat/>
    <w:rPr>
      <w:i/>
    </w:rPr>
  </w:style>
  <w:style w:type="character" w:styleId="af">
    <w:name w:val="Hyperlink"/>
    <w:basedOn w:val="a0"/>
    <w:qFormat/>
    <w:rPr>
      <w:color w:val="0000FF"/>
      <w:u w:val="single"/>
    </w:rPr>
  </w:style>
  <w:style w:type="character" w:customStyle="1" w:styleId="ab">
    <w:name w:val="标题 字符"/>
    <w:basedOn w:val="a0"/>
    <w:link w:val="aa"/>
    <w:qFormat/>
    <w:rPr>
      <w:b/>
      <w:sz w:val="28"/>
      <w:lang w:eastAsia="en-US"/>
    </w:rPr>
  </w:style>
  <w:style w:type="character" w:customStyle="1" w:styleId="bottom1">
    <w:name w:val="bottom1"/>
    <w:basedOn w:val="a0"/>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customStyle="1" w:styleId="10">
    <w:name w:val="列表段落1"/>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0">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 w:type="character" w:styleId="af1">
    <w:name w:val="Unresolved Mention"/>
    <w:basedOn w:val="a0"/>
    <w:uiPriority w:val="99"/>
    <w:semiHidden/>
    <w:unhideWhenUsed/>
    <w:rsid w:val="00185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miroql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518EECE-A8F3-0444-AFF6-3B2C4B9DDB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1224</Characters>
  <Application>Microsoft Office Word</Application>
  <DocSecurity>0</DocSecurity>
  <Lines>10</Lines>
  <Paragraphs>2</Paragraphs>
  <ScaleCrop>false</ScaleCrop>
  <Company>WWW.YlmF.CoM</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Microsoft Office User</cp:lastModifiedBy>
  <cp:revision>3</cp:revision>
  <cp:lastPrinted>2013-11-12T01:54:00Z</cp:lastPrinted>
  <dcterms:created xsi:type="dcterms:W3CDTF">2021-02-21T03:22:00Z</dcterms:created>
  <dcterms:modified xsi:type="dcterms:W3CDTF">2021-02-21T09:23:00Z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