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baseline"/>
        <w:rPr>
          <w:rFonts w:ascii="微软雅黑" w:hAnsi="微软雅黑" w:eastAsia="微软雅黑"/>
          <w:b/>
          <w:bCs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bCs/>
          <w:sz w:val="32"/>
          <w:szCs w:val="32"/>
        </w:rPr>
        <w:t>捷达品牌不走捷径整合营销战役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捷达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汽车业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.09.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9-12.31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数字媒体整合类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019</w:t>
      </w:r>
      <w:r>
        <w:rPr>
          <w:rFonts w:hint="eastAsia" w:ascii="微软雅黑" w:hAnsi="微软雅黑" w:eastAsia="微软雅黑"/>
          <w:sz w:val="21"/>
          <w:szCs w:val="21"/>
        </w:rPr>
        <w:t>年捷达成为一汽-大众集团旗下独立子品牌，赢得市场广泛关注，新生品牌如何立住形象扩大销量，成为捷达品牌首要课题。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020</w:t>
      </w:r>
      <w:r>
        <w:rPr>
          <w:rFonts w:hint="eastAsia" w:ascii="微软雅黑" w:hAnsi="微软雅黑" w:eastAsia="微软雅黑"/>
          <w:sz w:val="21"/>
          <w:szCs w:val="21"/>
        </w:rPr>
        <w:t>开年疫情影响，车市寒冬加剧。2</w:t>
      </w:r>
      <w:r>
        <w:rPr>
          <w:rFonts w:ascii="微软雅黑" w:hAnsi="微软雅黑" w:eastAsia="微软雅黑"/>
          <w:sz w:val="21"/>
          <w:szCs w:val="21"/>
        </w:rPr>
        <w:t>020</w:t>
      </w:r>
      <w:r>
        <w:rPr>
          <w:rFonts w:hint="eastAsia" w:ascii="微软雅黑" w:hAnsi="微软雅黑" w:eastAsia="微软雅黑"/>
          <w:sz w:val="21"/>
          <w:szCs w:val="21"/>
        </w:rPr>
        <w:t>下半年捷达品牌面临艰巨的声量及销量任务，需要产生爆破式音量，吸引潜客注意，促成成交转化，实现品牌声量、销量的双突破。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引爆品牌“不走捷径”传播主题，有效传递品牌价值，塑造品牌精神内核；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实现捷达品牌感知的传承与翻新，刷新大众对捷达品牌认知；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实现品牌和产品的快速大面积曝光，促进集客，提振销量。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策略：</w:t>
      </w:r>
      <w:r>
        <w:rPr>
          <w:rFonts w:hint="eastAsia" w:ascii="微软雅黑" w:hAnsi="微软雅黑" w:eastAsia="微软雅黑"/>
          <w:sz w:val="21"/>
          <w:szCs w:val="21"/>
        </w:rPr>
        <w:t>借势造势，撬动头部资源，形成传播合力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创意：</w:t>
      </w:r>
    </w:p>
    <w:p>
      <w:pPr>
        <w:pStyle w:val="21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创意T</w:t>
      </w:r>
      <w:r>
        <w:rPr>
          <w:rFonts w:ascii="微软雅黑" w:hAnsi="微软雅黑" w:eastAsia="微软雅黑"/>
          <w:szCs w:val="21"/>
        </w:rPr>
        <w:t>VC</w:t>
      </w:r>
      <w:r>
        <w:rPr>
          <w:rFonts w:hint="eastAsia" w:ascii="微软雅黑" w:hAnsi="微软雅黑" w:eastAsia="微软雅黑"/>
          <w:szCs w:val="21"/>
        </w:rPr>
        <w:t>：借势电影《八佰》热度，合作明星杜淳，</w:t>
      </w:r>
      <w:r>
        <w:rPr>
          <w:rFonts w:hint="eastAsia" w:ascii="微软雅黑" w:hAnsi="微软雅黑" w:eastAsia="微软雅黑"/>
          <w:szCs w:val="21"/>
          <w:lang w:val="en-US" w:eastAsia="zh-CN"/>
        </w:rPr>
        <w:t>以其演绎生涯</w:t>
      </w:r>
      <w:r>
        <w:rPr>
          <w:rFonts w:hint="eastAsia" w:ascii="微软雅黑" w:hAnsi="微软雅黑" w:eastAsia="微软雅黑"/>
          <w:szCs w:val="21"/>
        </w:rPr>
        <w:t>诠释品牌</w:t>
      </w:r>
      <w:r>
        <w:rPr>
          <w:rFonts w:hint="eastAsia" w:ascii="微软雅黑" w:hAnsi="微软雅黑" w:eastAsia="微软雅黑"/>
          <w:szCs w:val="21"/>
          <w:lang w:eastAsia="zh-CN"/>
        </w:rPr>
        <w:t>“</w:t>
      </w:r>
      <w:r>
        <w:rPr>
          <w:rFonts w:hint="eastAsia" w:ascii="微软雅黑" w:hAnsi="微软雅黑" w:eastAsia="微软雅黑"/>
          <w:szCs w:val="21"/>
          <w:lang w:val="en-US" w:eastAsia="zh-CN"/>
        </w:rPr>
        <w:t>不走捷径</w:t>
      </w:r>
      <w:r>
        <w:rPr>
          <w:rFonts w:hint="eastAsia" w:ascii="微软雅黑" w:hAnsi="微软雅黑" w:eastAsia="微软雅黑"/>
          <w:szCs w:val="21"/>
          <w:lang w:eastAsia="zh-CN"/>
        </w:rPr>
        <w:t>”</w:t>
      </w:r>
      <w:r>
        <w:rPr>
          <w:rFonts w:hint="eastAsia" w:ascii="微软雅黑" w:hAnsi="微软雅黑" w:eastAsia="微软雅黑"/>
          <w:szCs w:val="21"/>
          <w:lang w:val="en-US" w:eastAsia="zh-CN"/>
        </w:rPr>
        <w:t>的</w:t>
      </w:r>
      <w:r>
        <w:rPr>
          <w:rFonts w:hint="eastAsia" w:ascii="微软雅黑" w:hAnsi="微软雅黑" w:eastAsia="微软雅黑"/>
          <w:szCs w:val="21"/>
        </w:rPr>
        <w:t>主张</w:t>
      </w:r>
      <w:r>
        <w:rPr>
          <w:rFonts w:hint="eastAsia" w:ascii="微软雅黑" w:hAnsi="微软雅黑" w:eastAsia="微软雅黑"/>
          <w:szCs w:val="21"/>
          <w:lang w:eastAsia="zh-CN"/>
        </w:rPr>
        <w:t>；</w:t>
      </w:r>
    </w:p>
    <w:p>
      <w:pPr>
        <w:pStyle w:val="21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定制剧场：借势S+级大剧《巡回检查组》，品牌定制剧场，深化“不走捷径”理念</w:t>
      </w:r>
      <w:r>
        <w:rPr>
          <w:rFonts w:hint="eastAsia" w:ascii="微软雅黑" w:hAnsi="微软雅黑" w:eastAsia="微软雅黑"/>
          <w:szCs w:val="21"/>
          <w:lang w:eastAsia="zh-CN"/>
        </w:rPr>
        <w:t>；</w:t>
      </w:r>
    </w:p>
    <w:p>
      <w:pPr>
        <w:pStyle w:val="21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盛典联动：借势抖音、快手平台大事件，引爆品牌声量</w:t>
      </w:r>
      <w:r>
        <w:rPr>
          <w:rFonts w:hint="eastAsia" w:ascii="微软雅黑" w:hAnsi="微软雅黑" w:eastAsia="微软雅黑"/>
          <w:szCs w:val="21"/>
          <w:lang w:eastAsia="zh-CN"/>
        </w:rPr>
        <w:t>；</w:t>
      </w:r>
    </w:p>
    <w:p>
      <w:pPr>
        <w:pStyle w:val="21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jc w:val="left"/>
        <w:textAlignment w:val="baseline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话题炒热：</w:t>
      </w:r>
      <w:r>
        <w:rPr>
          <w:rFonts w:ascii="微软雅黑" w:hAnsi="微软雅黑" w:eastAsia="微软雅黑"/>
          <w:szCs w:val="21"/>
        </w:rPr>
        <w:t>Top10车圈大咖+2跨界顶流网红共同发声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3大平台，品牌话题同步发酵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jc w:val="left"/>
        <w:textAlignment w:val="baseline"/>
      </w:pPr>
    </w:p>
    <w:p>
      <w:pPr>
        <w:pStyle w:val="21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jc w:val="center"/>
        <w:textAlignment w:val="baseline"/>
        <w:rPr>
          <w:rFonts w:ascii="微软雅黑" w:hAnsi="微软雅黑" w:eastAsia="微软雅黑"/>
          <w:b/>
          <w:sz w:val="2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/>
        <w:textAlignment w:val="baseline"/>
        <w:rPr>
          <w:rFonts w:ascii="微软雅黑" w:hAnsi="微软雅黑" w:eastAsia="微软雅黑"/>
          <w:b/>
          <w:sz w:val="2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/>
        <w:textAlignment w:val="baseline"/>
        <w:rPr>
          <w:rFonts w:ascii="微软雅黑" w:hAnsi="微软雅黑" w:eastAsia="微软雅黑"/>
          <w:b/>
          <w:sz w:val="2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/>
        <w:textAlignment w:val="baseline"/>
        <w:rPr>
          <w:rFonts w:ascii="微软雅黑" w:hAnsi="微软雅黑" w:eastAsia="微软雅黑"/>
          <w:b/>
          <w:sz w:val="2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/>
        <w:textAlignment w:val="baseline"/>
        <w:rPr>
          <w:rFonts w:ascii="微软雅黑" w:hAnsi="微软雅黑" w:eastAsia="微软雅黑"/>
          <w:b/>
          <w:sz w:val="2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b/>
          <w:bCs/>
          <w:szCs w:val="21"/>
        </w:rPr>
        <w:t>借势电影《八佰》热度，合作高热明星，定制品牌T</w:t>
      </w:r>
      <w:r>
        <w:rPr>
          <w:rFonts w:ascii="微软雅黑" w:hAnsi="微软雅黑" w:eastAsia="微软雅黑"/>
          <w:b/>
          <w:bCs/>
          <w:szCs w:val="21"/>
        </w:rPr>
        <w:t>VC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 xml:space="preserve">① </w:t>
      </w:r>
      <w:r>
        <w:rPr>
          <w:rFonts w:hint="eastAsia" w:ascii="微软雅黑" w:hAnsi="微软雅黑" w:eastAsia="微软雅黑"/>
          <w:szCs w:val="21"/>
        </w:rPr>
        <w:t>呼应品牌传播主张，结合杜淳个人品质诠释捷达不走捷径理念</w:t>
      </w:r>
      <w:r>
        <w:rPr>
          <w:rFonts w:hint="eastAsia" w:ascii="微软雅黑" w:hAnsi="微软雅黑" w:eastAsia="微软雅黑"/>
          <w:szCs w:val="21"/>
          <w:lang w:eastAsia="zh-CN"/>
        </w:rPr>
        <w:t>；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108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11625" cy="1442720"/>
            <wp:effectExtent l="0" t="0" r="317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2897" cy="146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bCs/>
          <w:szCs w:val="21"/>
          <w:lang w:val="en-US" w:eastAsia="zh-CN"/>
        </w:rPr>
        <w:t xml:space="preserve">② </w:t>
      </w:r>
      <w:r>
        <w:rPr>
          <w:rFonts w:hint="eastAsia" w:ascii="微软雅黑" w:hAnsi="微软雅黑" w:eastAsia="微软雅黑"/>
          <w:bCs/>
          <w:szCs w:val="21"/>
        </w:rPr>
        <w:t>以演员视角，看百态人生，诠释捷达“不走捷径”的品牌态度，塑造典型车主形象</w:t>
      </w:r>
      <w:r>
        <w:rPr>
          <w:rFonts w:hint="eastAsia" w:ascii="微软雅黑" w:hAnsi="微软雅黑" w:eastAsia="微软雅黑"/>
          <w:bCs/>
          <w:szCs w:val="21"/>
          <w:lang w:eastAsia="zh-CN"/>
        </w:rPr>
        <w:t>；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Cs/>
          <w:szCs w:val="21"/>
        </w:rPr>
      </w:pPr>
      <w:r>
        <w:rPr>
          <w:rFonts w:ascii="微软雅黑" w:hAnsi="微软雅黑" w:eastAsia="微软雅黑"/>
          <w:bCs/>
          <w:szCs w:val="21"/>
        </w:rPr>
        <w:fldChar w:fldCharType="begin"/>
      </w:r>
      <w:r>
        <w:rPr>
          <w:rFonts w:ascii="微软雅黑" w:hAnsi="微软雅黑" w:eastAsia="微软雅黑"/>
          <w:bCs/>
          <w:szCs w:val="21"/>
        </w:rPr>
        <w:instrText xml:space="preserve"> HYPERLINK "https://www.bilibili.com/video/BV11f4y1k7M6/" </w:instrText>
      </w:r>
      <w:r>
        <w:rPr>
          <w:rFonts w:ascii="微软雅黑" w:hAnsi="微软雅黑" w:eastAsia="微软雅黑"/>
          <w:bCs/>
          <w:szCs w:val="21"/>
        </w:rPr>
        <w:fldChar w:fldCharType="separate"/>
      </w:r>
      <w:r>
        <w:rPr>
          <w:rStyle w:val="16"/>
          <w:rFonts w:ascii="微软雅黑" w:hAnsi="微软雅黑" w:eastAsia="微软雅黑"/>
          <w:bCs/>
          <w:szCs w:val="21"/>
        </w:rPr>
        <w:t>https://www.bilibili.com/video/BV11f4y1k7M6/</w:t>
      </w:r>
      <w:r>
        <w:rPr>
          <w:rFonts w:ascii="微软雅黑" w:hAnsi="微软雅黑" w:eastAsia="微软雅黑"/>
          <w:bCs/>
          <w:szCs w:val="21"/>
        </w:rPr>
        <w:fldChar w:fldCharType="end"/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 xml:space="preserve">③ </w:t>
      </w:r>
      <w:r>
        <w:rPr>
          <w:rFonts w:hint="eastAsia" w:ascii="微软雅黑" w:hAnsi="微软雅黑" w:eastAsia="微软雅黑" w:cs="微软雅黑"/>
          <w:szCs w:val="21"/>
        </w:rPr>
        <w:t>自造事件引爆</w:t>
      </w:r>
      <w:r>
        <w:rPr>
          <w:rFonts w:ascii="微软雅黑" w:hAnsi="微软雅黑" w:eastAsia="微软雅黑" w:cs="微软雅黑"/>
          <w:szCs w:val="21"/>
        </w:rPr>
        <w:t>全网发酵</w:t>
      </w:r>
      <w:r>
        <w:rPr>
          <w:rFonts w:hint="eastAsia" w:ascii="微软雅黑" w:hAnsi="微软雅黑" w:eastAsia="微软雅黑" w:cs="微软雅黑"/>
          <w:szCs w:val="21"/>
        </w:rPr>
        <w:t>，</w:t>
      </w:r>
      <w:r>
        <w:rPr>
          <w:rFonts w:ascii="微软雅黑" w:hAnsi="微软雅黑" w:eastAsia="微软雅黑" w:cs="微软雅黑"/>
          <w:szCs w:val="21"/>
        </w:rPr>
        <w:t>打造品牌专属记忆</w:t>
      </w:r>
      <w:r>
        <w:rPr>
          <w:rFonts w:hint="eastAsia" w:ascii="微软雅黑" w:hAnsi="微软雅黑" w:eastAsia="微软雅黑" w:cs="微软雅黑"/>
          <w:szCs w:val="21"/>
        </w:rPr>
        <w:t>，</w:t>
      </w:r>
      <w:r>
        <w:rPr>
          <w:rFonts w:ascii="微软雅黑" w:hAnsi="微软雅黑" w:eastAsia="微软雅黑" w:cs="微软雅黑"/>
          <w:szCs w:val="21"/>
        </w:rPr>
        <w:t>积聚品牌资产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1080" w:firstLine="0" w:firstLineChars="0"/>
        <w:textAlignment w:val="baseline"/>
      </w:pPr>
      <w:r>
        <w:drawing>
          <wp:inline distT="0" distB="0" distL="0" distR="0">
            <wp:extent cx="3932555" cy="17145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rcRect l="2187" r="2061" b="5726"/>
                    <a:stretch>
                      <a:fillRect/>
                    </a:stretch>
                  </pic:blipFill>
                  <pic:spPr>
                    <a:xfrm>
                      <a:off x="0" y="0"/>
                      <a:ext cx="3992981" cy="17407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b/>
          <w:bCs/>
          <w:szCs w:val="21"/>
        </w:rPr>
        <w:t>占位《巡回检查组》稀缺身份资源，台网联动曝光，紧密贴合剧情，输出创意剧情诠释产品力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36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448300" cy="19494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8760" cy="194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3、</w:t>
      </w:r>
      <w:r>
        <w:rPr>
          <w:rFonts w:hint="eastAsia" w:ascii="微软雅黑" w:hAnsi="微软雅黑" w:eastAsia="微软雅黑"/>
          <w:b/>
          <w:bCs/>
          <w:szCs w:val="21"/>
        </w:rPr>
        <w:t>借势抖音、快手平台级</w:t>
      </w:r>
      <w:r>
        <w:rPr>
          <w:rFonts w:ascii="微软雅黑" w:hAnsi="微软雅黑" w:eastAsia="微软雅黑"/>
          <w:b/>
          <w:bCs/>
          <w:szCs w:val="21"/>
        </w:rPr>
        <w:t>IP大事件，引爆品牌声量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 xml:space="preserve">① </w:t>
      </w:r>
      <w:r>
        <w:rPr>
          <w:rFonts w:hint="eastAsia" w:ascii="微软雅黑" w:hAnsi="微软雅黑" w:eastAsia="微软雅黑"/>
          <w:szCs w:val="21"/>
        </w:rPr>
        <w:t>借势《抖</w:t>
      </w:r>
      <w:r>
        <w:rPr>
          <w:rFonts w:ascii="微软雅黑" w:hAnsi="微软雅黑" w:eastAsia="微软雅黑"/>
          <w:szCs w:val="21"/>
        </w:rPr>
        <w:t>in美好西安》平台级宣推声势</w:t>
      </w:r>
      <w:r>
        <w:rPr>
          <w:rFonts w:hint="eastAsia" w:ascii="微软雅黑" w:hAnsi="微软雅黑" w:eastAsia="微软雅黑"/>
          <w:szCs w:val="21"/>
        </w:rPr>
        <w:t>，覆盖线上线下全场景，演绎不走捷径方得美好生活</w:t>
      </w:r>
      <w:r>
        <w:rPr>
          <w:rFonts w:hint="eastAsia" w:ascii="微软雅黑" w:hAnsi="微软雅黑" w:eastAsia="微软雅黑"/>
          <w:szCs w:val="21"/>
          <w:lang w:eastAsia="zh-CN"/>
        </w:rPr>
        <w:t>；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jc w:val="center"/>
        <w:textAlignment w:val="baseline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836160" cy="16846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8264" cy="168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 xml:space="preserve">② </w:t>
      </w:r>
      <w:r>
        <w:rPr>
          <w:rFonts w:hint="eastAsia" w:ascii="微软雅黑" w:hAnsi="微软雅黑" w:eastAsia="微软雅黑"/>
          <w:szCs w:val="21"/>
        </w:rPr>
        <w:t>深度参与头部主播年度颁奖，借势平台</w:t>
      </w:r>
      <w:r>
        <w:rPr>
          <w:rFonts w:ascii="微软雅黑" w:hAnsi="微软雅黑" w:eastAsia="微软雅黑"/>
          <w:szCs w:val="21"/>
        </w:rPr>
        <w:t>+TOP40主播流量</w:t>
      </w:r>
      <w:r>
        <w:rPr>
          <w:rFonts w:hint="eastAsia" w:ascii="微软雅黑" w:hAnsi="微软雅黑" w:eastAsia="微软雅黑"/>
          <w:szCs w:val="21"/>
        </w:rPr>
        <w:t>，激活老铁经济，输出捷达品牌不走捷径理念</w:t>
      </w:r>
      <w:r>
        <w:rPr>
          <w:rFonts w:hint="eastAsia" w:ascii="微软雅黑" w:hAnsi="微软雅黑" w:eastAsia="微软雅黑"/>
          <w:szCs w:val="21"/>
          <w:lang w:eastAsia="zh-CN"/>
        </w:rPr>
        <w:t>；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jc w:val="center"/>
        <w:textAlignment w:val="baseline"/>
      </w:pPr>
      <w:r>
        <w:drawing>
          <wp:inline distT="0" distB="0" distL="0" distR="0">
            <wp:extent cx="4852035" cy="1756410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7609" cy="176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jc w:val="both"/>
        <w:textAlignment w:val="baseline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4、</w:t>
      </w:r>
      <w:r>
        <w:rPr>
          <w:rFonts w:hint="eastAsia" w:ascii="微软雅黑" w:hAnsi="微软雅黑" w:eastAsia="微软雅黑"/>
          <w:b/>
          <w:bCs/>
          <w:szCs w:val="21"/>
        </w:rPr>
        <w:t>全网讨共掀“不走捷径”讨论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454015" cy="29400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5786" cy="294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454015" cy="315658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6428" cy="316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461000" cy="3041650"/>
            <wp:effectExtent l="0" t="0" r="635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0811" cy="305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pStyle w:val="21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auto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抖音、抖音火山版、快手、微信、腾讯新闻、今日头条、优酷七大流量媒体强势曝光，</w:t>
      </w:r>
      <w:r>
        <w:rPr>
          <w:rFonts w:ascii="微软雅黑" w:hAnsi="微软雅黑" w:eastAsia="微软雅黑"/>
          <w:szCs w:val="21"/>
        </w:rPr>
        <w:t>多平台联动齐聚引爆全网声势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auto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项目总曝光</w:t>
      </w:r>
      <w:r>
        <w:rPr>
          <w:rFonts w:ascii="微软雅黑" w:hAnsi="微软雅黑" w:eastAsia="微软雅黑"/>
          <w:b/>
          <w:bCs/>
          <w:szCs w:val="21"/>
        </w:rPr>
        <w:t>15.8亿+次</w:t>
      </w:r>
      <w:r>
        <w:rPr>
          <w:rFonts w:hint="eastAsia" w:ascii="微软雅黑" w:hAnsi="微软雅黑" w:eastAsia="微软雅黑"/>
          <w:szCs w:val="21"/>
        </w:rPr>
        <w:t>，项目总点</w:t>
      </w:r>
      <w:r>
        <w:rPr>
          <w:rFonts w:hint="eastAsia" w:ascii="微软雅黑" w:hAnsi="微软雅黑" w:eastAsia="微软雅黑"/>
          <w:b/>
          <w:bCs/>
          <w:szCs w:val="21"/>
        </w:rPr>
        <w:t>击</w:t>
      </w:r>
      <w:r>
        <w:rPr>
          <w:rFonts w:ascii="微软雅黑" w:hAnsi="微软雅黑" w:eastAsia="微软雅黑"/>
          <w:b/>
          <w:bCs/>
          <w:szCs w:val="21"/>
        </w:rPr>
        <w:t>4324万+次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有效留资</w:t>
      </w:r>
      <w:r>
        <w:rPr>
          <w:rFonts w:ascii="微软雅黑" w:hAnsi="微软雅黑" w:eastAsia="微软雅黑"/>
          <w:b/>
          <w:bCs/>
          <w:szCs w:val="21"/>
        </w:rPr>
        <w:t>1</w:t>
      </w:r>
      <w:r>
        <w:rPr>
          <w:rFonts w:hint="eastAsia" w:ascii="微软雅黑" w:hAnsi="微软雅黑" w:eastAsia="微软雅黑"/>
          <w:b/>
          <w:bCs/>
          <w:szCs w:val="21"/>
        </w:rPr>
        <w:t>.</w:t>
      </w:r>
      <w:r>
        <w:rPr>
          <w:rFonts w:ascii="微软雅黑" w:hAnsi="微软雅黑" w:eastAsia="微软雅黑"/>
          <w:b/>
          <w:bCs/>
          <w:szCs w:val="21"/>
        </w:rPr>
        <w:t>6</w:t>
      </w:r>
      <w:r>
        <w:rPr>
          <w:rFonts w:hint="eastAsia" w:ascii="微软雅黑" w:hAnsi="微软雅黑" w:eastAsia="微软雅黑"/>
          <w:b/>
          <w:bCs/>
          <w:szCs w:val="21"/>
        </w:rPr>
        <w:t>万+</w:t>
      </w:r>
      <w:r>
        <w:rPr>
          <w:rFonts w:ascii="微软雅黑" w:hAnsi="微软雅黑" w:eastAsia="微软雅黑"/>
          <w:b/>
          <w:bCs/>
          <w:szCs w:val="21"/>
        </w:rPr>
        <w:t>条</w:t>
      </w:r>
      <w:r>
        <w:rPr>
          <w:rFonts w:hint="eastAsia" w:ascii="微软雅黑" w:hAnsi="微软雅黑" w:eastAsia="微软雅黑"/>
          <w:b w:val="0"/>
          <w:bCs w:val="0"/>
          <w:szCs w:val="21"/>
          <w:lang w:eastAsia="zh-CN"/>
        </w:rPr>
        <w:t>；</w:t>
      </w:r>
      <w:r>
        <w:rPr>
          <w:rFonts w:hint="eastAsia" w:ascii="微软雅黑" w:hAnsi="微软雅黑" w:eastAsia="微软雅黑"/>
          <w:szCs w:val="21"/>
        </w:rPr>
        <w:t>杜淳《人生台词课》T</w:t>
      </w:r>
      <w:r>
        <w:rPr>
          <w:rFonts w:ascii="微软雅黑" w:hAnsi="微软雅黑" w:eastAsia="微软雅黑"/>
          <w:szCs w:val="21"/>
        </w:rPr>
        <w:t>VC</w:t>
      </w:r>
      <w:r>
        <w:rPr>
          <w:rFonts w:hint="eastAsia" w:ascii="微软雅黑" w:hAnsi="微软雅黑" w:eastAsia="微软雅黑"/>
          <w:szCs w:val="21"/>
        </w:rPr>
        <w:t>全网观看量</w:t>
      </w:r>
      <w:r>
        <w:rPr>
          <w:rFonts w:hint="eastAsia" w:ascii="微软雅黑" w:hAnsi="微软雅黑" w:eastAsia="微软雅黑"/>
          <w:b/>
          <w:bCs/>
          <w:szCs w:val="21"/>
        </w:rPr>
        <w:t>4</w:t>
      </w:r>
      <w:r>
        <w:rPr>
          <w:rFonts w:ascii="微软雅黑" w:hAnsi="微软雅黑" w:eastAsia="微软雅黑"/>
          <w:b/>
          <w:bCs/>
          <w:szCs w:val="21"/>
        </w:rPr>
        <w:t>54</w:t>
      </w:r>
      <w:r>
        <w:rPr>
          <w:rFonts w:hint="eastAsia" w:ascii="微软雅黑" w:hAnsi="微软雅黑" w:eastAsia="微软雅黑"/>
          <w:b/>
          <w:bCs/>
          <w:szCs w:val="21"/>
        </w:rPr>
        <w:t>万+次</w:t>
      </w:r>
      <w:r>
        <w:rPr>
          <w:rFonts w:hint="eastAsia" w:ascii="微软雅黑" w:hAnsi="微软雅黑" w:eastAsia="微软雅黑"/>
          <w:b w:val="0"/>
          <w:bCs w:val="0"/>
          <w:szCs w:val="21"/>
          <w:lang w:eastAsia="zh-CN"/>
        </w:rPr>
        <w:t>；</w:t>
      </w:r>
      <w:r>
        <w:rPr>
          <w:rFonts w:hint="eastAsia" w:ascii="微软雅黑" w:hAnsi="微软雅黑" w:eastAsia="微软雅黑"/>
          <w:szCs w:val="21"/>
        </w:rPr>
        <w:t>抖音、快手、腾讯新闻“不走捷径”相关话题页累计播放量</w:t>
      </w:r>
      <w:r>
        <w:rPr>
          <w:rFonts w:hint="eastAsia" w:ascii="微软雅黑" w:hAnsi="微软雅黑" w:eastAsia="微软雅黑"/>
          <w:b/>
          <w:bCs/>
          <w:szCs w:val="21"/>
        </w:rPr>
        <w:t>2</w:t>
      </w:r>
      <w:r>
        <w:rPr>
          <w:rFonts w:ascii="微软雅黑" w:hAnsi="微软雅黑" w:eastAsia="微软雅黑"/>
          <w:b/>
          <w:bCs/>
          <w:szCs w:val="21"/>
        </w:rPr>
        <w:t>.3</w:t>
      </w:r>
      <w:r>
        <w:rPr>
          <w:rFonts w:hint="eastAsia" w:ascii="微软雅黑" w:hAnsi="微软雅黑" w:eastAsia="微软雅黑"/>
          <w:b/>
          <w:bCs/>
          <w:szCs w:val="21"/>
        </w:rPr>
        <w:t>亿+次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3D1D"/>
    <w:rsid w:val="00056E4C"/>
    <w:rsid w:val="0006079A"/>
    <w:rsid w:val="000631F9"/>
    <w:rsid w:val="00071CE5"/>
    <w:rsid w:val="000724F0"/>
    <w:rsid w:val="0007509B"/>
    <w:rsid w:val="00077EC5"/>
    <w:rsid w:val="00083D1B"/>
    <w:rsid w:val="000915E6"/>
    <w:rsid w:val="00097129"/>
    <w:rsid w:val="000979A5"/>
    <w:rsid w:val="000A1E58"/>
    <w:rsid w:val="000A3EB7"/>
    <w:rsid w:val="000B2399"/>
    <w:rsid w:val="000B254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17D6B"/>
    <w:rsid w:val="0012292C"/>
    <w:rsid w:val="00124317"/>
    <w:rsid w:val="00124C66"/>
    <w:rsid w:val="001265C9"/>
    <w:rsid w:val="00131A61"/>
    <w:rsid w:val="001351A0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1A94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55B2B"/>
    <w:rsid w:val="00262A77"/>
    <w:rsid w:val="002639F5"/>
    <w:rsid w:val="002707E7"/>
    <w:rsid w:val="00270EF0"/>
    <w:rsid w:val="002712AF"/>
    <w:rsid w:val="00274F8A"/>
    <w:rsid w:val="002826E2"/>
    <w:rsid w:val="00290500"/>
    <w:rsid w:val="00293769"/>
    <w:rsid w:val="002A004E"/>
    <w:rsid w:val="002A44B4"/>
    <w:rsid w:val="002A4D71"/>
    <w:rsid w:val="002B0CDA"/>
    <w:rsid w:val="002B1FC2"/>
    <w:rsid w:val="002C2121"/>
    <w:rsid w:val="002E0FFA"/>
    <w:rsid w:val="002E7E41"/>
    <w:rsid w:val="002F2AF3"/>
    <w:rsid w:val="002F3A4B"/>
    <w:rsid w:val="002F7E7A"/>
    <w:rsid w:val="00302FD8"/>
    <w:rsid w:val="003056B8"/>
    <w:rsid w:val="00311DCD"/>
    <w:rsid w:val="00314F4B"/>
    <w:rsid w:val="00317BD4"/>
    <w:rsid w:val="00320B24"/>
    <w:rsid w:val="003219F7"/>
    <w:rsid w:val="00334623"/>
    <w:rsid w:val="003548BE"/>
    <w:rsid w:val="00361FEC"/>
    <w:rsid w:val="00362043"/>
    <w:rsid w:val="00365FAB"/>
    <w:rsid w:val="00366EDD"/>
    <w:rsid w:val="00371D9E"/>
    <w:rsid w:val="00371F8B"/>
    <w:rsid w:val="00384811"/>
    <w:rsid w:val="00386E93"/>
    <w:rsid w:val="0038758A"/>
    <w:rsid w:val="00397084"/>
    <w:rsid w:val="003A2FD7"/>
    <w:rsid w:val="003A3097"/>
    <w:rsid w:val="003A3802"/>
    <w:rsid w:val="003A69AF"/>
    <w:rsid w:val="003B49B9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2F2F"/>
    <w:rsid w:val="00404490"/>
    <w:rsid w:val="00407F5C"/>
    <w:rsid w:val="00407FAE"/>
    <w:rsid w:val="004109EA"/>
    <w:rsid w:val="004158D7"/>
    <w:rsid w:val="00422AE8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2279"/>
    <w:rsid w:val="004733AA"/>
    <w:rsid w:val="004767D7"/>
    <w:rsid w:val="0048060F"/>
    <w:rsid w:val="0048122B"/>
    <w:rsid w:val="00484916"/>
    <w:rsid w:val="004861A7"/>
    <w:rsid w:val="00486B1E"/>
    <w:rsid w:val="0048758B"/>
    <w:rsid w:val="00491A67"/>
    <w:rsid w:val="00492C50"/>
    <w:rsid w:val="004A4904"/>
    <w:rsid w:val="004C539E"/>
    <w:rsid w:val="004D3EF9"/>
    <w:rsid w:val="004D4BF5"/>
    <w:rsid w:val="004D53A9"/>
    <w:rsid w:val="004E459E"/>
    <w:rsid w:val="004E704D"/>
    <w:rsid w:val="004F1399"/>
    <w:rsid w:val="004F2AF7"/>
    <w:rsid w:val="004F7523"/>
    <w:rsid w:val="005002D8"/>
    <w:rsid w:val="00506B17"/>
    <w:rsid w:val="00507EB8"/>
    <w:rsid w:val="005101F1"/>
    <w:rsid w:val="0052080E"/>
    <w:rsid w:val="005344CB"/>
    <w:rsid w:val="00535A1F"/>
    <w:rsid w:val="00535E0A"/>
    <w:rsid w:val="005479C8"/>
    <w:rsid w:val="00547E1C"/>
    <w:rsid w:val="005504E6"/>
    <w:rsid w:val="0055479D"/>
    <w:rsid w:val="0055730B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1D2C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2D6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1095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1408"/>
    <w:rsid w:val="0085738D"/>
    <w:rsid w:val="008612D4"/>
    <w:rsid w:val="008674D7"/>
    <w:rsid w:val="00880022"/>
    <w:rsid w:val="008875A4"/>
    <w:rsid w:val="008A2185"/>
    <w:rsid w:val="008A26D6"/>
    <w:rsid w:val="008B0070"/>
    <w:rsid w:val="008B2200"/>
    <w:rsid w:val="008B689B"/>
    <w:rsid w:val="008C107B"/>
    <w:rsid w:val="008C2693"/>
    <w:rsid w:val="008E6097"/>
    <w:rsid w:val="008F2CAF"/>
    <w:rsid w:val="008F39A4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4B66"/>
    <w:rsid w:val="009766F2"/>
    <w:rsid w:val="00976708"/>
    <w:rsid w:val="0098226A"/>
    <w:rsid w:val="009823A9"/>
    <w:rsid w:val="00983853"/>
    <w:rsid w:val="009849FB"/>
    <w:rsid w:val="009907DE"/>
    <w:rsid w:val="009934A4"/>
    <w:rsid w:val="00993AA4"/>
    <w:rsid w:val="009A4510"/>
    <w:rsid w:val="009A7F27"/>
    <w:rsid w:val="009B0E2C"/>
    <w:rsid w:val="009B796F"/>
    <w:rsid w:val="009C6E37"/>
    <w:rsid w:val="009E0D6A"/>
    <w:rsid w:val="009E6D94"/>
    <w:rsid w:val="009F0D88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0B6E"/>
    <w:rsid w:val="00A44A15"/>
    <w:rsid w:val="00A4633A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7F2"/>
    <w:rsid w:val="00A73B4E"/>
    <w:rsid w:val="00A7436D"/>
    <w:rsid w:val="00A74660"/>
    <w:rsid w:val="00A829A2"/>
    <w:rsid w:val="00A83094"/>
    <w:rsid w:val="00A83F45"/>
    <w:rsid w:val="00A849B8"/>
    <w:rsid w:val="00A86FCA"/>
    <w:rsid w:val="00AA63A1"/>
    <w:rsid w:val="00AA7397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06C70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884"/>
    <w:rsid w:val="00B93BD6"/>
    <w:rsid w:val="00B93E3B"/>
    <w:rsid w:val="00B95F57"/>
    <w:rsid w:val="00BA0329"/>
    <w:rsid w:val="00BA7554"/>
    <w:rsid w:val="00BB0E07"/>
    <w:rsid w:val="00BB1A99"/>
    <w:rsid w:val="00BB229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3C76"/>
    <w:rsid w:val="00C171FB"/>
    <w:rsid w:val="00C272F9"/>
    <w:rsid w:val="00C36E88"/>
    <w:rsid w:val="00C40E03"/>
    <w:rsid w:val="00C5015C"/>
    <w:rsid w:val="00C516C8"/>
    <w:rsid w:val="00C57C01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3F2A"/>
    <w:rsid w:val="00D14F03"/>
    <w:rsid w:val="00D2630B"/>
    <w:rsid w:val="00D409BB"/>
    <w:rsid w:val="00D4263B"/>
    <w:rsid w:val="00D5007A"/>
    <w:rsid w:val="00D50CE7"/>
    <w:rsid w:val="00D5598B"/>
    <w:rsid w:val="00D56BD0"/>
    <w:rsid w:val="00D63679"/>
    <w:rsid w:val="00D6725D"/>
    <w:rsid w:val="00D71A2E"/>
    <w:rsid w:val="00D731FC"/>
    <w:rsid w:val="00D80973"/>
    <w:rsid w:val="00D844F0"/>
    <w:rsid w:val="00D97623"/>
    <w:rsid w:val="00DB2A72"/>
    <w:rsid w:val="00DB3708"/>
    <w:rsid w:val="00DB4C4A"/>
    <w:rsid w:val="00DC32E7"/>
    <w:rsid w:val="00DC397E"/>
    <w:rsid w:val="00DD56E4"/>
    <w:rsid w:val="00DD63C5"/>
    <w:rsid w:val="00DE76F1"/>
    <w:rsid w:val="00E004F9"/>
    <w:rsid w:val="00E14F3F"/>
    <w:rsid w:val="00E21168"/>
    <w:rsid w:val="00E23547"/>
    <w:rsid w:val="00E26E63"/>
    <w:rsid w:val="00E336C0"/>
    <w:rsid w:val="00E33B57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610F"/>
    <w:rsid w:val="00E745ED"/>
    <w:rsid w:val="00E77E2B"/>
    <w:rsid w:val="00E8120B"/>
    <w:rsid w:val="00E81E0A"/>
    <w:rsid w:val="00E846BA"/>
    <w:rsid w:val="00E85595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238C0"/>
    <w:rsid w:val="00F24EFA"/>
    <w:rsid w:val="00F2694B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21B7"/>
    <w:rsid w:val="00FE497C"/>
    <w:rsid w:val="00FE70B2"/>
    <w:rsid w:val="00FE7398"/>
    <w:rsid w:val="396A0754"/>
    <w:rsid w:val="46B13C5A"/>
    <w:rsid w:val="4FA9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226</Words>
  <Characters>1290</Characters>
  <Lines>10</Lines>
  <Paragraphs>3</Paragraphs>
  <TotalTime>1</TotalTime>
  <ScaleCrop>false</ScaleCrop>
  <LinksUpToDate>false</LinksUpToDate>
  <CharactersWithSpaces>1513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有点慢</cp:lastModifiedBy>
  <cp:lastPrinted>2012-10-11T08:46:00Z</cp:lastPrinted>
  <dcterms:modified xsi:type="dcterms:W3CDTF">2021-02-03T08:12:25Z</dcterms:modified>
  <dc:title>No</dc:title>
  <cp:revision>102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