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EBCC7D" w14:textId="416BA649" w:rsidR="005716D4" w:rsidRDefault="002B4647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2B4647">
        <w:rPr>
          <w:rFonts w:ascii="微软雅黑" w:eastAsia="微软雅黑" w:hAnsi="微软雅黑" w:hint="eastAsia"/>
          <w:b/>
          <w:sz w:val="32"/>
          <w:szCs w:val="32"/>
        </w:rPr>
        <w:t>易星</w:t>
      </w:r>
    </w:p>
    <w:p w14:paraId="3CCCEAA1" w14:textId="77777777" w:rsidR="005716D4" w:rsidRPr="002B4647" w:rsidRDefault="009E6319">
      <w:pPr>
        <w:textAlignment w:val="baseline"/>
        <w:rPr>
          <w:rFonts w:ascii="微软雅黑" w:eastAsia="微软雅黑" w:hAnsi="微软雅黑"/>
          <w:color w:val="000000"/>
          <w:kern w:val="0"/>
        </w:rPr>
      </w:pPr>
      <w:r>
        <w:rPr>
          <w:rFonts w:ascii="微软雅黑" w:eastAsia="微软雅黑" w:hAnsi="微软雅黑" w:hint="eastAsia"/>
          <w:b/>
        </w:rPr>
        <w:t>公司职位：</w:t>
      </w:r>
      <w:r w:rsidRPr="002B4647">
        <w:rPr>
          <w:rFonts w:ascii="微软雅黑" w:eastAsia="微软雅黑" w:hAnsi="微软雅黑" w:hint="eastAsia"/>
          <w:color w:val="000000"/>
          <w:kern w:val="0"/>
        </w:rPr>
        <w:t>派瑞威行</w:t>
      </w:r>
      <w:r w:rsidRPr="002B4647">
        <w:rPr>
          <w:rFonts w:ascii="微软雅黑" w:eastAsia="微软雅黑" w:hAnsi="微软雅黑" w:hint="eastAsia"/>
          <w:color w:val="000000"/>
          <w:kern w:val="0"/>
        </w:rPr>
        <w:t>C</w:t>
      </w:r>
      <w:r w:rsidRPr="002B4647">
        <w:rPr>
          <w:rFonts w:ascii="微软雅黑" w:eastAsia="微软雅黑" w:hAnsi="微软雅黑"/>
          <w:color w:val="000000"/>
          <w:kern w:val="0"/>
        </w:rPr>
        <w:t>E</w:t>
      </w:r>
      <w:r w:rsidRPr="002B4647">
        <w:rPr>
          <w:rFonts w:ascii="微软雅黑" w:eastAsia="微软雅黑" w:hAnsi="微软雅黑" w:hint="eastAsia"/>
          <w:color w:val="000000"/>
          <w:kern w:val="0"/>
        </w:rPr>
        <w:t>O</w:t>
      </w:r>
      <w:r w:rsidRPr="002B4647">
        <w:rPr>
          <w:rFonts w:ascii="微软雅黑" w:eastAsia="微软雅黑" w:hAnsi="微软雅黑" w:hint="eastAsia"/>
          <w:color w:val="000000"/>
          <w:kern w:val="0"/>
        </w:rPr>
        <w:t>、</w:t>
      </w:r>
      <w:r w:rsidRPr="002B4647">
        <w:rPr>
          <w:rFonts w:ascii="微软雅黑" w:eastAsia="微软雅黑" w:hAnsi="微软雅黑" w:hint="eastAsia"/>
          <w:color w:val="000000"/>
          <w:kern w:val="0"/>
        </w:rPr>
        <w:t>浙文互联联席总经理</w:t>
      </w:r>
    </w:p>
    <w:p w14:paraId="37BDFEBC" w14:textId="2599A824" w:rsidR="005716D4" w:rsidRPr="002B4647" w:rsidRDefault="009E6319">
      <w:pPr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2B4647">
        <w:rPr>
          <w:rFonts w:ascii="微软雅黑" w:eastAsia="微软雅黑" w:hAnsi="微软雅黑" w:hint="eastAsia"/>
          <w:color w:val="000000"/>
          <w:kern w:val="0"/>
        </w:rPr>
        <w:t>年度数字营销影响力人物</w:t>
      </w:r>
    </w:p>
    <w:p w14:paraId="0EE24865" w14:textId="45D2BD9C" w:rsidR="005716D4" w:rsidRDefault="009E6319" w:rsidP="002B464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40C0DAF8" w14:textId="419D3901" w:rsidR="00E04F6B" w:rsidRDefault="00E04F6B" w:rsidP="00E04F6B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noProof/>
        </w:rPr>
        <w:drawing>
          <wp:inline distT="0" distB="0" distL="114300" distR="114300" wp14:anchorId="47A0BE32" wp14:editId="3F967C70">
            <wp:extent cx="3255010" cy="4882516"/>
            <wp:effectExtent l="0" t="0" r="2540" b="0"/>
            <wp:docPr id="2" name="图片 2" descr="l6f1bfae87ca5bb80a4ce2b5ec64883aa-s1599633821884-mfcb99fd340e1e5425800a994f3955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6f1bfae87ca5bb80a4ce2b5ec64883aa-s1599633821884-mfcb99fd340e1e5425800a994f39558a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429" cy="488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F2DB" w14:textId="54175043" w:rsidR="005716D4" w:rsidRPr="002B4647" w:rsidRDefault="009E6319" w:rsidP="002B4647">
      <w:pPr>
        <w:spacing w:before="100" w:beforeAutospacing="1" w:after="100" w:afterAutospacing="1"/>
        <w:rPr>
          <w:rFonts w:ascii="微软雅黑" w:eastAsia="微软雅黑" w:hAnsi="微软雅黑" w:cstheme="majorEastAsia"/>
          <w:bCs/>
          <w:szCs w:val="21"/>
        </w:rPr>
      </w:pPr>
      <w:r w:rsidRPr="002B4647">
        <w:rPr>
          <w:rFonts w:ascii="微软雅黑" w:eastAsia="微软雅黑" w:hAnsi="微软雅黑" w:cstheme="majorEastAsia" w:hint="eastAsia"/>
          <w:bCs/>
          <w:szCs w:val="21"/>
        </w:rPr>
        <w:t>易星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 xml:space="preserve"> 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北京派瑞威行互联技术有限公司，现任派瑞威行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C</w:t>
      </w:r>
      <w:r w:rsidRPr="002B4647">
        <w:rPr>
          <w:rFonts w:ascii="微软雅黑" w:eastAsia="微软雅黑" w:hAnsi="微软雅黑" w:cstheme="majorEastAsia"/>
          <w:bCs/>
          <w:szCs w:val="21"/>
        </w:rPr>
        <w:t>E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O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、</w:t>
      </w: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浙文互联联席总经理</w:t>
      </w:r>
      <w:r w:rsidR="000A60E7">
        <w:rPr>
          <w:rFonts w:ascii="微软雅黑" w:eastAsia="微软雅黑" w:hAnsi="微软雅黑" w:cstheme="majorEastAsia" w:hint="eastAsia"/>
          <w:bCs/>
          <w:szCs w:val="21"/>
        </w:rPr>
        <w:t>；</w:t>
      </w:r>
    </w:p>
    <w:p w14:paraId="0B147CD3" w14:textId="77777777" w:rsidR="005716D4" w:rsidRPr="002B4647" w:rsidRDefault="009E6319" w:rsidP="002B4647">
      <w:pPr>
        <w:spacing w:before="100" w:beforeAutospacing="1" w:after="100" w:afterAutospacing="1"/>
        <w:rPr>
          <w:rFonts w:ascii="微软雅黑" w:eastAsia="微软雅黑" w:hAnsi="微软雅黑" w:cstheme="majorEastAsia"/>
          <w:bCs/>
          <w:szCs w:val="21"/>
        </w:rPr>
      </w:pPr>
      <w:r w:rsidRPr="002B4647">
        <w:rPr>
          <w:rFonts w:ascii="微软雅黑" w:eastAsia="微软雅黑" w:hAnsi="微软雅黑" w:cstheme="majorEastAsia" w:hint="eastAsia"/>
          <w:bCs/>
          <w:szCs w:val="21"/>
        </w:rPr>
        <w:t>2013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年，加入派瑞威行，负责公司策略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&amp;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品牌传播工作；</w:t>
      </w:r>
    </w:p>
    <w:p w14:paraId="2C056626" w14:textId="77777777" w:rsidR="005716D4" w:rsidRPr="002B4647" w:rsidRDefault="009E6319" w:rsidP="002B4647">
      <w:pPr>
        <w:spacing w:before="100" w:beforeAutospacing="1" w:after="100" w:afterAutospacing="1"/>
        <w:rPr>
          <w:rFonts w:ascii="微软雅黑" w:eastAsia="微软雅黑" w:hAnsi="微软雅黑" w:cstheme="majorEastAsia"/>
          <w:bCs/>
          <w:szCs w:val="21"/>
        </w:rPr>
      </w:pPr>
      <w:r w:rsidRPr="002B4647">
        <w:rPr>
          <w:rFonts w:ascii="微软雅黑" w:eastAsia="微软雅黑" w:hAnsi="微软雅黑" w:cstheme="majorEastAsia" w:hint="eastAsia"/>
          <w:bCs/>
          <w:szCs w:val="21"/>
        </w:rPr>
        <w:t>2014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年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~2018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年，任公司副总裁，负责策略团队、销售团队、媒介团队运营团队的管理工作；</w:t>
      </w:r>
    </w:p>
    <w:p w14:paraId="662C7BD2" w14:textId="77777777" w:rsidR="005716D4" w:rsidRPr="002B4647" w:rsidRDefault="009E6319" w:rsidP="002B4647">
      <w:pPr>
        <w:spacing w:before="100" w:beforeAutospacing="1" w:after="100" w:afterAutospacing="1"/>
        <w:rPr>
          <w:rFonts w:ascii="微软雅黑" w:eastAsia="微软雅黑" w:hAnsi="微软雅黑" w:cstheme="majorEastAsia"/>
          <w:bCs/>
          <w:szCs w:val="21"/>
        </w:rPr>
      </w:pPr>
      <w:r w:rsidRPr="002B4647">
        <w:rPr>
          <w:rFonts w:ascii="微软雅黑" w:eastAsia="微软雅黑" w:hAnsi="微软雅黑" w:cstheme="majorEastAsia" w:hint="eastAsia"/>
          <w:bCs/>
          <w:szCs w:val="21"/>
        </w:rPr>
        <w:t>2020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年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5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月，任派瑞威行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C</w:t>
      </w:r>
      <w:r w:rsidRPr="002B4647">
        <w:rPr>
          <w:rFonts w:ascii="微软雅黑" w:eastAsia="微软雅黑" w:hAnsi="微软雅黑" w:cstheme="majorEastAsia"/>
          <w:bCs/>
          <w:szCs w:val="21"/>
        </w:rPr>
        <w:t>O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O</w:t>
      </w:r>
      <w:r w:rsidRPr="002B4647">
        <w:rPr>
          <w:rFonts w:ascii="微软雅黑" w:eastAsia="微软雅黑" w:hAnsi="微软雅黑" w:cstheme="majorEastAsia" w:hint="eastAsia"/>
          <w:bCs/>
          <w:szCs w:val="21"/>
        </w:rPr>
        <w:t>，全面负责公司业务管理工作。</w:t>
      </w:r>
    </w:p>
    <w:p w14:paraId="65EA5FF0" w14:textId="2BE9C222" w:rsidR="005716D4" w:rsidRPr="002B4647" w:rsidRDefault="009E6319" w:rsidP="002B4647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Cs w:val="21"/>
        </w:rPr>
      </w:pPr>
      <w:r w:rsidRPr="002B4647">
        <w:rPr>
          <w:rFonts w:ascii="微软雅黑" w:eastAsia="微软雅黑" w:hAnsi="微软雅黑" w:cstheme="majorEastAsia"/>
          <w:bCs/>
          <w:szCs w:val="21"/>
        </w:rPr>
        <w:t>2020</w:t>
      </w: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年</w:t>
      </w:r>
      <w:r w:rsidRPr="002B4647">
        <w:rPr>
          <w:rFonts w:ascii="微软雅黑" w:eastAsia="微软雅黑" w:hAnsi="微软雅黑" w:cstheme="majorEastAsia"/>
          <w:bCs/>
          <w:szCs w:val="21"/>
          <w:lang w:eastAsia="zh-Hans"/>
        </w:rPr>
        <w:t>9</w:t>
      </w: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月</w:t>
      </w:r>
      <w:r w:rsidRPr="002B4647">
        <w:rPr>
          <w:rFonts w:ascii="微软雅黑" w:eastAsia="微软雅黑" w:hAnsi="微软雅黑" w:cstheme="majorEastAsia"/>
          <w:bCs/>
          <w:szCs w:val="21"/>
          <w:lang w:eastAsia="zh-Hans"/>
        </w:rPr>
        <w:t>，</w:t>
      </w: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任派瑞威行</w:t>
      </w:r>
      <w:r w:rsidRPr="002B4647">
        <w:rPr>
          <w:rFonts w:ascii="微软雅黑" w:eastAsia="微软雅黑" w:hAnsi="微软雅黑" w:cstheme="majorEastAsia"/>
          <w:bCs/>
          <w:szCs w:val="21"/>
          <w:lang w:eastAsia="zh-Hans"/>
        </w:rPr>
        <w:t>CEO</w:t>
      </w:r>
      <w:r w:rsidRPr="002B4647">
        <w:rPr>
          <w:rFonts w:ascii="微软雅黑" w:eastAsia="微软雅黑" w:hAnsi="微软雅黑" w:cstheme="majorEastAsia"/>
          <w:bCs/>
          <w:szCs w:val="21"/>
          <w:lang w:eastAsia="zh-Hans"/>
        </w:rPr>
        <w:t>，</w:t>
      </w: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全面管理公司工作</w:t>
      </w:r>
      <w:r w:rsidRPr="002B4647">
        <w:rPr>
          <w:rFonts w:ascii="微软雅黑" w:eastAsia="微软雅黑" w:hAnsi="微软雅黑" w:cstheme="majorEastAsia"/>
          <w:bCs/>
          <w:szCs w:val="21"/>
          <w:lang w:eastAsia="zh-Hans"/>
        </w:rPr>
        <w:t>。</w:t>
      </w:r>
    </w:p>
    <w:p w14:paraId="6B6F731F" w14:textId="77777777" w:rsidR="005716D4" w:rsidRDefault="009E6319" w:rsidP="002B464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数字营销领域杰出贡献</w:t>
      </w:r>
    </w:p>
    <w:p w14:paraId="311344CB" w14:textId="7FAA2FAC" w:rsidR="005716D4" w:rsidRPr="00E04F6B" w:rsidRDefault="009E6319" w:rsidP="00E04F6B">
      <w:pPr>
        <w:spacing w:before="100" w:beforeAutospacing="1" w:after="100" w:afterAutospacing="1"/>
        <w:textAlignment w:val="baseline"/>
        <w:rPr>
          <w:rFonts w:ascii="微软雅黑" w:eastAsia="微软雅黑" w:hAnsi="微软雅黑" w:cstheme="majorEastAsia" w:hint="eastAsia"/>
          <w:bCs/>
          <w:szCs w:val="21"/>
          <w:lang w:eastAsia="zh-Hans"/>
        </w:rPr>
      </w:pP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lastRenderedPageBreak/>
        <w:t>背靠国资背景上市集团浙文互联及派瑞自身优势，整体业务强劲发展。派瑞威行与腾讯系</w:t>
      </w:r>
      <w:r w:rsidRPr="002B4647">
        <w:rPr>
          <w:rFonts w:ascii="微软雅黑" w:eastAsia="微软雅黑" w:hAnsi="微软雅黑" w:cstheme="majorEastAsia"/>
          <w:bCs/>
          <w:szCs w:val="21"/>
          <w:lang w:eastAsia="zh-Hans"/>
        </w:rPr>
        <w:t>、</w:t>
      </w: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字节系等多家媒体合作以来，多年未定在头代理商地位</w:t>
      </w:r>
      <w:r w:rsidRPr="002B4647">
        <w:rPr>
          <w:rFonts w:ascii="微软雅黑" w:eastAsia="微软雅黑" w:hAnsi="微软雅黑" w:cstheme="majorEastAsia"/>
          <w:bCs/>
          <w:szCs w:val="21"/>
          <w:lang w:eastAsia="zh-Hans"/>
        </w:rPr>
        <w:t>、</w:t>
      </w: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获得媒体认证，业绩实现持续翻倍增长，在教育、网服、旅游、金融、游戏等行业均名列前茅。服务了涵盖网服、金融、教育、电商、旅游出行及游戏等细分行业超过</w:t>
      </w: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300</w:t>
      </w:r>
      <w:r w:rsidRP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家知名客户，在每一个细分行业中，都与头部超级客户群有长期稳定的合作，以“让客户的营销更高效”为企业使命，聚焦于头部媒体，强化与媒体的深入合作，从资源，玩法，技术、政策等方面与头部媒体保持紧密配合，为客户提供移动互联网精准营销服务</w:t>
      </w:r>
      <w:r w:rsidR="002B4647">
        <w:rPr>
          <w:rFonts w:ascii="微软雅黑" w:eastAsia="微软雅黑" w:hAnsi="微软雅黑" w:cstheme="majorEastAsia" w:hint="eastAsia"/>
          <w:bCs/>
          <w:szCs w:val="21"/>
          <w:lang w:eastAsia="zh-Hans"/>
        </w:rPr>
        <w:t>。</w:t>
      </w:r>
    </w:p>
    <w:sectPr w:rsidR="005716D4" w:rsidRPr="00E04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5383" w14:textId="77777777" w:rsidR="009E6319" w:rsidRDefault="009E6319">
      <w:r>
        <w:separator/>
      </w:r>
    </w:p>
  </w:endnote>
  <w:endnote w:type="continuationSeparator" w:id="0">
    <w:p w14:paraId="34DBCF77" w14:textId="77777777" w:rsidR="009E6319" w:rsidRDefault="009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8FDD" w14:textId="77777777" w:rsidR="005716D4" w:rsidRDefault="009E6319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2371D4A6" w14:textId="77777777" w:rsidR="005716D4" w:rsidRDefault="005716D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B1CD" w14:textId="77777777" w:rsidR="005716D4" w:rsidRDefault="005716D4">
    <w:pPr>
      <w:pStyle w:val="a7"/>
      <w:framePr w:wrap="around" w:vAnchor="text" w:hAnchor="margin" w:xAlign="right" w:y="1"/>
      <w:rPr>
        <w:rStyle w:val="ad"/>
      </w:rPr>
    </w:pPr>
  </w:p>
  <w:p w14:paraId="7509D664" w14:textId="77777777" w:rsidR="005716D4" w:rsidRDefault="005716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EE27" w14:textId="77777777" w:rsidR="009E6319" w:rsidRDefault="009E6319">
      <w:r>
        <w:separator/>
      </w:r>
    </w:p>
  </w:footnote>
  <w:footnote w:type="continuationSeparator" w:id="0">
    <w:p w14:paraId="7F870DE9" w14:textId="77777777" w:rsidR="009E6319" w:rsidRDefault="009E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80FC" w14:textId="77777777" w:rsidR="005716D4" w:rsidRDefault="005716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6AB0" w14:textId="77777777" w:rsidR="005716D4" w:rsidRDefault="009E6319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6BA76824" wp14:editId="10532FD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B9C5" w14:textId="77777777" w:rsidR="005716D4" w:rsidRDefault="005716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DAFBFAB6"/>
    <w:rsid w:val="FF9F6EF0"/>
    <w:rsid w:val="0000069D"/>
    <w:rsid w:val="00017E22"/>
    <w:rsid w:val="00044F0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60E7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B4647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16D4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13515"/>
    <w:rsid w:val="008159A4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319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03E8"/>
    <w:rsid w:val="00DC397E"/>
    <w:rsid w:val="00DC3EBF"/>
    <w:rsid w:val="00DC3FCF"/>
    <w:rsid w:val="00DE732A"/>
    <w:rsid w:val="00E004F9"/>
    <w:rsid w:val="00E033AD"/>
    <w:rsid w:val="00E04F6B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7EFEA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328E"/>
  <w15:docId w15:val="{74B770A5-6334-4855-A61B-FB35381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  <w:qFormat/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0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>WWW.YlmF.CoM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3</cp:revision>
  <cp:lastPrinted>2013-11-12T17:54:00Z</cp:lastPrinted>
  <dcterms:created xsi:type="dcterms:W3CDTF">2021-02-05T08:36:00Z</dcterms:created>
  <dcterms:modified xsi:type="dcterms:W3CDTF">2021-02-05T08:36:00Z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