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7D6F872" w14:textId="4A4B0268" w:rsidR="00390E37" w:rsidRDefault="008F041A">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8F041A">
        <w:rPr>
          <w:rFonts w:ascii="微软雅黑" w:eastAsia="微软雅黑" w:hAnsi="微软雅黑" w:hint="eastAsia"/>
          <w:b/>
          <w:sz w:val="32"/>
          <w:szCs w:val="32"/>
        </w:rPr>
        <w:t>伊利×小米，</w:t>
      </w:r>
      <w:proofErr w:type="spellStart"/>
      <w:r w:rsidRPr="008F041A">
        <w:rPr>
          <w:rFonts w:ascii="微软雅黑" w:eastAsia="微软雅黑" w:hAnsi="微软雅黑" w:hint="eastAsia"/>
          <w:b/>
          <w:sz w:val="32"/>
          <w:szCs w:val="32"/>
        </w:rPr>
        <w:t>AIoT</w:t>
      </w:r>
      <w:proofErr w:type="spellEnd"/>
      <w:r w:rsidRPr="008F041A">
        <w:rPr>
          <w:rFonts w:ascii="微软雅黑" w:eastAsia="微软雅黑" w:hAnsi="微软雅黑" w:hint="eastAsia"/>
          <w:b/>
          <w:sz w:val="32"/>
          <w:szCs w:val="32"/>
        </w:rPr>
        <w:t>打造牛奶“白科技”</w:t>
      </w:r>
    </w:p>
    <w:p w14:paraId="064E20AF" w14:textId="77777777" w:rsidR="00390E37" w:rsidRDefault="002109AD">
      <w:pPr>
        <w:textAlignment w:val="baseline"/>
        <w:rPr>
          <w:rFonts w:ascii="微软雅黑" w:eastAsia="微软雅黑" w:hAnsi="微软雅黑"/>
          <w:b/>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伊利</w:t>
      </w:r>
    </w:p>
    <w:p w14:paraId="7E488B9F" w14:textId="77777777" w:rsidR="00390E37" w:rsidRDefault="002109AD">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饮料-乳品类</w:t>
      </w:r>
    </w:p>
    <w:p w14:paraId="40215FDA" w14:textId="3FE1DB00" w:rsidR="00390E37" w:rsidRDefault="002109AD">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2020.11.19-12.18</w:t>
      </w:r>
    </w:p>
    <w:p w14:paraId="41573104" w14:textId="77777777" w:rsidR="008F041A" w:rsidRDefault="002109AD" w:rsidP="008F041A">
      <w:pPr>
        <w:spacing w:after="240"/>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008F041A" w:rsidRPr="008F041A">
        <w:rPr>
          <w:rFonts w:ascii="微软雅黑" w:eastAsia="微软雅黑" w:hAnsi="微软雅黑"/>
          <w:bCs/>
          <w:sz w:val="21"/>
          <w:szCs w:val="21"/>
        </w:rPr>
        <w:t>数字媒体整合类</w:t>
      </w:r>
    </w:p>
    <w:p w14:paraId="645E8E39" w14:textId="2208A964" w:rsidR="00390E37" w:rsidRPr="008F041A" w:rsidRDefault="002109AD" w:rsidP="008F041A">
      <w:pPr>
        <w:spacing w:after="240"/>
        <w:textAlignment w:val="baseline"/>
        <w:rPr>
          <w:rFonts w:ascii="微软雅黑" w:eastAsia="微软雅黑" w:hAnsi="微软雅黑"/>
          <w:b/>
          <w:color w:val="0000FF"/>
        </w:rPr>
      </w:pPr>
      <w:r>
        <w:rPr>
          <w:rFonts w:ascii="微软雅黑" w:eastAsia="微软雅黑" w:hAnsi="微软雅黑" w:hint="eastAsia"/>
          <w:b/>
          <w:color w:val="0000FF"/>
          <w:sz w:val="28"/>
        </w:rPr>
        <w:t>营销背景</w:t>
      </w:r>
    </w:p>
    <w:p w14:paraId="1A830A6F"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【营销背景】</w:t>
      </w:r>
    </w:p>
    <w:p w14:paraId="3034031E"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1-品牌背景</w:t>
      </w:r>
    </w:p>
    <w:p w14:paraId="5668519E"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1）</w:t>
      </w:r>
      <w:r>
        <w:rPr>
          <w:rFonts w:ascii="微软雅黑" w:eastAsia="微软雅黑" w:hAnsi="微软雅黑" w:cs="Times New Roman"/>
          <w:kern w:val="2"/>
          <w:sz w:val="21"/>
          <w:szCs w:val="20"/>
        </w:rPr>
        <w:t>伊利</w:t>
      </w:r>
      <w:r>
        <w:rPr>
          <w:rFonts w:ascii="微软雅黑" w:eastAsia="微软雅黑" w:hAnsi="微软雅黑" w:cs="Times New Roman" w:hint="eastAsia"/>
          <w:kern w:val="2"/>
          <w:sz w:val="21"/>
          <w:szCs w:val="20"/>
        </w:rPr>
        <w:t>是</w:t>
      </w:r>
      <w:r>
        <w:rPr>
          <w:rFonts w:ascii="微软雅黑" w:eastAsia="微软雅黑" w:hAnsi="微软雅黑" w:cs="Times New Roman"/>
          <w:kern w:val="2"/>
          <w:sz w:val="21"/>
          <w:szCs w:val="20"/>
        </w:rPr>
        <w:t>亚洲第一乳业公司</w:t>
      </w:r>
      <w:r>
        <w:rPr>
          <w:rFonts w:ascii="微软雅黑" w:eastAsia="微软雅黑" w:hAnsi="微软雅黑" w:cs="Times New Roman" w:hint="eastAsia"/>
          <w:kern w:val="2"/>
          <w:sz w:val="21"/>
          <w:szCs w:val="20"/>
        </w:rPr>
        <w:t>，</w:t>
      </w:r>
      <w:r>
        <w:rPr>
          <w:rFonts w:ascii="微软雅黑" w:eastAsia="微软雅黑" w:hAnsi="微软雅黑" w:cs="Times New Roman"/>
          <w:kern w:val="2"/>
          <w:sz w:val="21"/>
          <w:szCs w:val="20"/>
        </w:rPr>
        <w:t>稳居全球乳业第一阵营</w:t>
      </w:r>
      <w:r>
        <w:rPr>
          <w:rFonts w:ascii="微软雅黑" w:eastAsia="微软雅黑" w:hAnsi="微软雅黑" w:cs="Times New Roman" w:hint="eastAsia"/>
          <w:kern w:val="2"/>
          <w:sz w:val="21"/>
          <w:szCs w:val="20"/>
        </w:rPr>
        <w:t>，</w:t>
      </w:r>
      <w:r>
        <w:rPr>
          <w:rFonts w:ascii="微软雅黑" w:eastAsia="微软雅黑" w:hAnsi="微软雅黑" w:cs="Times New Roman"/>
          <w:kern w:val="2"/>
          <w:sz w:val="21"/>
          <w:szCs w:val="20"/>
        </w:rPr>
        <w:t>也是中国规模最大、产品品类最全的乳制品企业</w:t>
      </w:r>
      <w:r>
        <w:rPr>
          <w:rFonts w:ascii="微软雅黑" w:eastAsia="微软雅黑" w:hAnsi="微软雅黑" w:cs="Times New Roman" w:hint="eastAsia"/>
          <w:kern w:val="2"/>
          <w:sz w:val="21"/>
          <w:szCs w:val="20"/>
        </w:rPr>
        <w:t>。伊利的品牌愿景是：“滋养生命活力，让世界共享健康”，它倡导健康生活方式，期望通过科技赋能牛奶，持续引领全球乳制品行业发展，占据未来核心赛道。</w:t>
      </w:r>
    </w:p>
    <w:p w14:paraId="2CC38939" w14:textId="490033D1" w:rsidR="00390E37" w:rsidRPr="008F041A" w:rsidRDefault="002109AD" w:rsidP="008F041A">
      <w:pPr>
        <w:spacing w:before="100" w:beforeAutospacing="1" w:after="100" w:afterAutospacing="1"/>
        <w:rPr>
          <w:rFonts w:ascii="微软雅黑" w:eastAsia="微软雅黑" w:hAnsi="微软雅黑" w:cs="Times New Roman" w:hint="eastAsia"/>
          <w:kern w:val="2"/>
          <w:sz w:val="21"/>
          <w:szCs w:val="20"/>
        </w:rPr>
      </w:pPr>
      <w:r>
        <w:rPr>
          <w:rFonts w:ascii="微软雅黑" w:eastAsia="微软雅黑" w:hAnsi="微软雅黑" w:cs="Times New Roman" w:hint="eastAsia"/>
          <w:kern w:val="2"/>
          <w:sz w:val="21"/>
          <w:szCs w:val="20"/>
        </w:rPr>
        <w:t>2）小米是全球最大物联网公司，中国智能生活领导者，完全满足伊利希望将其产品进行科技赋能的需求。此外，小米智能生态聚集全场景海量用户，这与伊利意图拓展的目标受众十分契合。</w:t>
      </w:r>
    </w:p>
    <w:p w14:paraId="647420DA"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2-行业背景</w:t>
      </w:r>
    </w:p>
    <w:p w14:paraId="561D4088"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1）传统乳制品行业迎来科技时代，个性化营养定制将成为食品行业新赛道。</w:t>
      </w:r>
    </w:p>
    <w:p w14:paraId="5CB713D0" w14:textId="27D0B47D" w:rsidR="00390E37" w:rsidRDefault="002109AD" w:rsidP="008F041A">
      <w:pPr>
        <w:spacing w:before="100" w:beforeAutospacing="1" w:after="100" w:afterAutospacing="1"/>
        <w:rPr>
          <w:rFonts w:ascii="微软雅黑" w:eastAsia="微软雅黑" w:hAnsi="微软雅黑" w:cs="Times New Roman" w:hint="eastAsia"/>
          <w:kern w:val="2"/>
          <w:sz w:val="21"/>
          <w:szCs w:val="20"/>
        </w:rPr>
      </w:pPr>
      <w:r>
        <w:rPr>
          <w:rFonts w:ascii="微软雅黑" w:eastAsia="微软雅黑" w:hAnsi="微软雅黑" w:cs="Times New Roman" w:hint="eastAsia"/>
          <w:kern w:val="2"/>
          <w:sz w:val="21"/>
          <w:szCs w:val="20"/>
        </w:rPr>
        <w:t>2）受疫情影响，消费者更关注个人健康和营养补充。</w:t>
      </w:r>
    </w:p>
    <w:p w14:paraId="767FF730" w14:textId="77777777" w:rsidR="00390E37" w:rsidRDefault="002109AD" w:rsidP="008F041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0000FF"/>
          <w:sz w:val="28"/>
        </w:rPr>
        <w:t>营销目标</w:t>
      </w:r>
    </w:p>
    <w:p w14:paraId="263AEA78"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1-品牌曝光</w:t>
      </w:r>
    </w:p>
    <w:p w14:paraId="3D41C527"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传播伊利高品质品牌形象，展示自身强大的科技创新活力。</w:t>
      </w:r>
    </w:p>
    <w:p w14:paraId="1F352E8E"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2-深化服务</w:t>
      </w:r>
    </w:p>
    <w:p w14:paraId="5647B8B4"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借助小米生态数据能力赋能，为消费者提供更精准的产品和服务</w:t>
      </w:r>
      <w:r>
        <w:rPr>
          <w:rFonts w:ascii="微软雅黑" w:eastAsia="微软雅黑" w:hAnsi="微软雅黑" w:cs="Times New Roman" w:hint="eastAsia"/>
          <w:kern w:val="2"/>
          <w:sz w:val="21"/>
          <w:szCs w:val="20"/>
        </w:rPr>
        <w:t>。</w:t>
      </w:r>
    </w:p>
    <w:p w14:paraId="1885B74C"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3-行业声量</w:t>
      </w:r>
    </w:p>
    <w:p w14:paraId="5CD59348" w14:textId="77777777" w:rsidR="00390E37" w:rsidRDefault="002109AD" w:rsidP="008F041A">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抢占未来营养定制赛道，打造乳品行业IP跨界大事件，强化伊利牛奶行业领军者地位。</w:t>
      </w:r>
    </w:p>
    <w:p w14:paraId="08802599" w14:textId="77777777" w:rsidR="00390E37" w:rsidRDefault="00390E37" w:rsidP="008F041A">
      <w:pPr>
        <w:spacing w:before="100" w:beforeAutospacing="1" w:after="100" w:afterAutospacing="1"/>
        <w:textAlignment w:val="baseline"/>
        <w:rPr>
          <w:rFonts w:ascii="微软雅黑" w:eastAsia="微软雅黑" w:hAnsi="微软雅黑"/>
          <w:sz w:val="21"/>
          <w:szCs w:val="21"/>
        </w:rPr>
      </w:pPr>
    </w:p>
    <w:p w14:paraId="372F1C66" w14:textId="6806248F" w:rsidR="00390E37" w:rsidRDefault="002109AD" w:rsidP="008F041A">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lastRenderedPageBreak/>
        <w:t>策略与创意</w:t>
      </w:r>
    </w:p>
    <w:p w14:paraId="4EB5806D" w14:textId="7BB109B2" w:rsidR="008F041A" w:rsidRPr="008F041A" w:rsidRDefault="008F041A" w:rsidP="008F041A">
      <w:pPr>
        <w:spacing w:before="100" w:beforeAutospacing="1" w:after="100" w:afterAutospacing="1"/>
        <w:textAlignment w:val="baseline"/>
        <w:rPr>
          <w:rFonts w:ascii="微软雅黑" w:eastAsia="微软雅黑" w:hAnsi="微软雅黑" w:hint="eastAsia"/>
          <w:bCs/>
          <w:color w:val="0000FF"/>
          <w:sz w:val="21"/>
          <w:szCs w:val="21"/>
        </w:rPr>
      </w:pPr>
      <w:r w:rsidRPr="008F041A">
        <w:rPr>
          <w:rFonts w:ascii="微软雅黑" w:eastAsia="微软雅黑" w:hAnsi="微软雅黑" w:hint="eastAsia"/>
          <w:b/>
          <w:color w:val="000000" w:themeColor="text1"/>
          <w:sz w:val="21"/>
          <w:szCs w:val="21"/>
        </w:rPr>
        <w:t>视频链接：</w:t>
      </w:r>
      <w:r w:rsidRPr="008F041A">
        <w:rPr>
          <w:rFonts w:ascii="微软雅黑" w:eastAsia="微软雅黑" w:hAnsi="微软雅黑"/>
          <w:bCs/>
          <w:sz w:val="21"/>
          <w:szCs w:val="21"/>
        </w:rPr>
        <w:fldChar w:fldCharType="begin"/>
      </w:r>
      <w:r w:rsidRPr="008F041A">
        <w:rPr>
          <w:rFonts w:ascii="微软雅黑" w:eastAsia="微软雅黑" w:hAnsi="微软雅黑"/>
          <w:bCs/>
          <w:sz w:val="21"/>
          <w:szCs w:val="21"/>
        </w:rPr>
        <w:instrText xml:space="preserve"> HYPERLINK "https://v.qq.com/x/page/n3225zjk21x.html" </w:instrText>
      </w:r>
      <w:r w:rsidRPr="008F041A">
        <w:rPr>
          <w:rFonts w:ascii="微软雅黑" w:eastAsia="微软雅黑" w:hAnsi="微软雅黑"/>
          <w:bCs/>
          <w:sz w:val="21"/>
          <w:szCs w:val="21"/>
        </w:rPr>
        <w:fldChar w:fldCharType="separate"/>
      </w:r>
      <w:r w:rsidRPr="008F041A">
        <w:rPr>
          <w:rStyle w:val="af2"/>
          <w:rFonts w:ascii="微软雅黑" w:eastAsia="微软雅黑" w:hAnsi="微软雅黑"/>
          <w:bCs/>
          <w:sz w:val="21"/>
          <w:szCs w:val="21"/>
        </w:rPr>
        <w:t>https://v.qq.com/x/page/n3225zjk21x.html</w:t>
      </w:r>
      <w:r w:rsidRPr="008F041A">
        <w:rPr>
          <w:rFonts w:ascii="微软雅黑" w:eastAsia="微软雅黑" w:hAnsi="微软雅黑"/>
          <w:bCs/>
          <w:sz w:val="21"/>
          <w:szCs w:val="21"/>
        </w:rPr>
        <w:fldChar w:fldCharType="end"/>
      </w:r>
    </w:p>
    <w:p w14:paraId="25614947"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1-用户洞察</w:t>
      </w:r>
    </w:p>
    <w:p w14:paraId="2044E291" w14:textId="77777777" w:rsidR="00390E37" w:rsidRDefault="002109AD" w:rsidP="008F041A">
      <w:pPr>
        <w:spacing w:before="100" w:beforeAutospacing="1" w:after="100" w:afterAutospacing="1"/>
      </w:pPr>
      <w:r>
        <w:rPr>
          <w:rFonts w:ascii="微软雅黑" w:eastAsia="微软雅黑" w:hAnsi="微软雅黑" w:cs="Times New Roman" w:hint="eastAsia"/>
          <w:kern w:val="2"/>
          <w:sz w:val="21"/>
          <w:szCs w:val="20"/>
        </w:rPr>
        <w:t>目前，</w:t>
      </w:r>
      <w:r>
        <w:rPr>
          <w:rFonts w:ascii="微软雅黑" w:eastAsia="微软雅黑" w:hAnsi="微软雅黑" w:cs="Times New Roman"/>
          <w:kern w:val="2"/>
          <w:sz w:val="21"/>
          <w:szCs w:val="20"/>
        </w:rPr>
        <w:t>市场</w:t>
      </w:r>
      <w:r>
        <w:rPr>
          <w:rFonts w:ascii="微软雅黑" w:eastAsia="微软雅黑" w:hAnsi="微软雅黑" w:cs="Times New Roman" w:hint="eastAsia"/>
          <w:kern w:val="2"/>
          <w:sz w:val="21"/>
          <w:szCs w:val="20"/>
        </w:rPr>
        <w:t>上</w:t>
      </w:r>
      <w:r>
        <w:rPr>
          <w:rFonts w:ascii="微软雅黑" w:eastAsia="微软雅黑" w:hAnsi="微软雅黑" w:cs="Times New Roman"/>
          <w:kern w:val="2"/>
          <w:sz w:val="21"/>
          <w:szCs w:val="20"/>
        </w:rPr>
        <w:t>乳品众多</w:t>
      </w:r>
      <w:r>
        <w:rPr>
          <w:rFonts w:ascii="微软雅黑" w:eastAsia="微软雅黑" w:hAnsi="微软雅黑" w:cs="Times New Roman" w:hint="eastAsia"/>
          <w:kern w:val="2"/>
          <w:sz w:val="21"/>
          <w:szCs w:val="20"/>
        </w:rPr>
        <w:t>、品类繁杂</w:t>
      </w:r>
      <w:r>
        <w:rPr>
          <w:rFonts w:ascii="微软雅黑" w:eastAsia="微软雅黑" w:hAnsi="微软雅黑" w:cs="Times New Roman"/>
          <w:kern w:val="2"/>
          <w:sz w:val="21"/>
          <w:szCs w:val="20"/>
        </w:rPr>
        <w:t>，消费者很难</w:t>
      </w:r>
      <w:r>
        <w:rPr>
          <w:rFonts w:ascii="微软雅黑" w:eastAsia="微软雅黑" w:hAnsi="微软雅黑" w:cs="Times New Roman" w:hint="eastAsia"/>
          <w:kern w:val="2"/>
          <w:sz w:val="21"/>
          <w:szCs w:val="20"/>
        </w:rPr>
        <w:t>选择与判断</w:t>
      </w:r>
      <w:r>
        <w:rPr>
          <w:rFonts w:ascii="微软雅黑" w:eastAsia="微软雅黑" w:hAnsi="微软雅黑" w:cs="Times New Roman"/>
          <w:kern w:val="2"/>
          <w:sz w:val="21"/>
          <w:szCs w:val="20"/>
        </w:rPr>
        <w:t>最适合自身体质和状态的牛奶</w:t>
      </w:r>
      <w:r>
        <w:rPr>
          <w:rFonts w:ascii="微软雅黑" w:eastAsia="微软雅黑" w:hAnsi="微软雅黑" w:cs="Times New Roman" w:hint="eastAsia"/>
          <w:kern w:val="2"/>
          <w:sz w:val="21"/>
          <w:szCs w:val="20"/>
        </w:rPr>
        <w:t>。</w:t>
      </w:r>
    </w:p>
    <w:p w14:paraId="621A2EDD" w14:textId="0CA8F7E7" w:rsidR="00390E37" w:rsidRDefault="002109AD" w:rsidP="008F041A">
      <w:pPr>
        <w:spacing w:before="100" w:beforeAutospacing="1" w:after="100" w:afterAutospacing="1"/>
        <w:rPr>
          <w:rFonts w:hint="eastAsia"/>
          <w:b/>
          <w:bCs/>
          <w:u w:val="single"/>
        </w:rPr>
      </w:pPr>
      <w:r>
        <w:rPr>
          <w:rFonts w:hint="eastAsia"/>
          <w:b/>
          <w:bCs/>
          <w:noProof/>
          <w:u w:val="single"/>
        </w:rPr>
        <w:drawing>
          <wp:inline distT="0" distB="0" distL="114300" distR="114300" wp14:anchorId="10B7B3EA" wp14:editId="727DDBBE">
            <wp:extent cx="5709920" cy="2024380"/>
            <wp:effectExtent l="0" t="0" r="5080" b="7620"/>
            <wp:docPr id="8" name="图片 8" descr="用户洞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用户洞察"/>
                    <pic:cNvPicPr>
                      <a:picLocks noChangeAspect="1"/>
                    </pic:cNvPicPr>
                  </pic:nvPicPr>
                  <pic:blipFill>
                    <a:blip r:embed="rId9"/>
                    <a:stretch>
                      <a:fillRect/>
                    </a:stretch>
                  </pic:blipFill>
                  <pic:spPr>
                    <a:xfrm>
                      <a:off x="0" y="0"/>
                      <a:ext cx="5709920" cy="2024380"/>
                    </a:xfrm>
                    <a:prstGeom prst="rect">
                      <a:avLst/>
                    </a:prstGeom>
                  </pic:spPr>
                </pic:pic>
              </a:graphicData>
            </a:graphic>
          </wp:inline>
        </w:drawing>
      </w:r>
    </w:p>
    <w:p w14:paraId="2184C1FB"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2-合作契机</w:t>
      </w:r>
    </w:p>
    <w:p w14:paraId="7D129106"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健康与科技国民品牌战略合作</w:t>
      </w:r>
      <w:r>
        <w:rPr>
          <w:rFonts w:ascii="微软雅黑" w:eastAsia="微软雅黑" w:hAnsi="微软雅黑" w:cs="Times New Roman" w:hint="eastAsia"/>
          <w:kern w:val="2"/>
          <w:sz w:val="21"/>
          <w:szCs w:val="20"/>
        </w:rPr>
        <w:t>，</w:t>
      </w:r>
      <w:r>
        <w:rPr>
          <w:rFonts w:ascii="微软雅黑" w:eastAsia="微软雅黑" w:hAnsi="微软雅黑" w:cs="Times New Roman"/>
          <w:kern w:val="2"/>
          <w:sz w:val="21"/>
          <w:szCs w:val="20"/>
        </w:rPr>
        <w:t>让牛奶匹配个性化的营养需求，以科技推动国民健康升级</w:t>
      </w:r>
      <w:r>
        <w:rPr>
          <w:rFonts w:ascii="微软雅黑" w:eastAsia="微软雅黑" w:hAnsi="微软雅黑" w:cs="Times New Roman" w:hint="eastAsia"/>
          <w:kern w:val="2"/>
          <w:sz w:val="21"/>
          <w:szCs w:val="20"/>
        </w:rPr>
        <w:t>。</w:t>
      </w:r>
    </w:p>
    <w:p w14:paraId="142CA81C" w14:textId="493B2040" w:rsidR="00390E37" w:rsidRDefault="002109AD" w:rsidP="008F041A">
      <w:pPr>
        <w:spacing w:before="100" w:beforeAutospacing="1" w:after="100" w:afterAutospacing="1"/>
        <w:rPr>
          <w:rFonts w:hint="eastAsia"/>
        </w:rPr>
      </w:pPr>
      <w:r>
        <w:rPr>
          <w:rFonts w:hint="eastAsia"/>
          <w:noProof/>
        </w:rPr>
        <w:drawing>
          <wp:inline distT="0" distB="0" distL="114300" distR="114300" wp14:anchorId="6163E9A7" wp14:editId="51079F95">
            <wp:extent cx="5708650" cy="1911350"/>
            <wp:effectExtent l="0" t="0" r="6350" b="5715"/>
            <wp:docPr id="1" name="图片 1" descr="合作契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作契机"/>
                    <pic:cNvPicPr>
                      <a:picLocks noChangeAspect="1"/>
                    </pic:cNvPicPr>
                  </pic:nvPicPr>
                  <pic:blipFill>
                    <a:blip r:embed="rId10"/>
                    <a:stretch>
                      <a:fillRect/>
                    </a:stretch>
                  </pic:blipFill>
                  <pic:spPr>
                    <a:xfrm>
                      <a:off x="0" y="0"/>
                      <a:ext cx="5708650" cy="1911350"/>
                    </a:xfrm>
                    <a:prstGeom prst="rect">
                      <a:avLst/>
                    </a:prstGeom>
                  </pic:spPr>
                </pic:pic>
              </a:graphicData>
            </a:graphic>
          </wp:inline>
        </w:drawing>
      </w:r>
    </w:p>
    <w:p w14:paraId="103A075A"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【创意策略】</w:t>
      </w:r>
    </w:p>
    <w:p w14:paraId="1D38BE9F"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1-BIG IDEA</w:t>
      </w:r>
    </w:p>
    <w:p w14:paraId="24F592B6"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伊利×小米，定制</w:t>
      </w:r>
      <w:proofErr w:type="spellStart"/>
      <w:r>
        <w:rPr>
          <w:rFonts w:ascii="微软雅黑" w:eastAsia="微软雅黑" w:hAnsi="微软雅黑" w:cs="Times New Roman" w:hint="eastAsia"/>
          <w:kern w:val="2"/>
          <w:sz w:val="21"/>
          <w:szCs w:val="20"/>
        </w:rPr>
        <w:t>AIoT</w:t>
      </w:r>
      <w:proofErr w:type="spellEnd"/>
      <w:r>
        <w:rPr>
          <w:rFonts w:ascii="微软雅黑" w:eastAsia="微软雅黑" w:hAnsi="微软雅黑" w:cs="Times New Roman" w:hint="eastAsia"/>
          <w:kern w:val="2"/>
          <w:sz w:val="21"/>
          <w:szCs w:val="20"/>
        </w:rPr>
        <w:t>可穿戴设备，识别各场景下营养需求，精准匹配饮奶方案。</w:t>
      </w:r>
    </w:p>
    <w:p w14:paraId="277DACCA" w14:textId="7C510E17" w:rsidR="00390E37" w:rsidRDefault="002109AD" w:rsidP="008F041A">
      <w:pPr>
        <w:spacing w:before="100" w:beforeAutospacing="1" w:after="100" w:afterAutospacing="1"/>
        <w:rPr>
          <w:rFonts w:hint="eastAsia"/>
        </w:rPr>
      </w:pPr>
      <w:r>
        <w:rPr>
          <w:rFonts w:hint="eastAsia"/>
          <w:noProof/>
        </w:rPr>
        <w:lastRenderedPageBreak/>
        <w:drawing>
          <wp:inline distT="0" distB="0" distL="114300" distR="114300" wp14:anchorId="2C81F0E5" wp14:editId="10034BE6">
            <wp:extent cx="5711190" cy="2736850"/>
            <wp:effectExtent l="0" t="0" r="3810" b="0"/>
            <wp:docPr id="10" name="图片 10" descr="big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igidea"/>
                    <pic:cNvPicPr>
                      <a:picLocks noChangeAspect="1"/>
                    </pic:cNvPicPr>
                  </pic:nvPicPr>
                  <pic:blipFill>
                    <a:blip r:embed="rId11"/>
                    <a:stretch>
                      <a:fillRect/>
                    </a:stretch>
                  </pic:blipFill>
                  <pic:spPr>
                    <a:xfrm>
                      <a:off x="0" y="0"/>
                      <a:ext cx="5711190" cy="2736850"/>
                    </a:xfrm>
                    <a:prstGeom prst="rect">
                      <a:avLst/>
                    </a:prstGeom>
                  </pic:spPr>
                </pic:pic>
              </a:graphicData>
            </a:graphic>
          </wp:inline>
        </w:drawing>
      </w:r>
    </w:p>
    <w:p w14:paraId="1B5A84BF"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2-营销总策略</w:t>
      </w:r>
    </w:p>
    <w:p w14:paraId="7AA3522C"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伊利与小米通过线上社群、线下重量级会议与快闪活动、</w:t>
      </w:r>
      <w:proofErr w:type="spellStart"/>
      <w:r>
        <w:rPr>
          <w:rFonts w:ascii="微软雅黑" w:eastAsia="微软雅黑" w:hAnsi="微软雅黑" w:cs="Times New Roman" w:hint="eastAsia"/>
          <w:kern w:val="2"/>
          <w:sz w:val="21"/>
          <w:szCs w:val="20"/>
        </w:rPr>
        <w:t>AIoT</w:t>
      </w:r>
      <w:proofErr w:type="spellEnd"/>
      <w:r>
        <w:rPr>
          <w:rFonts w:ascii="微软雅黑" w:eastAsia="微软雅黑" w:hAnsi="微软雅黑" w:cs="Times New Roman" w:hint="eastAsia"/>
          <w:kern w:val="2"/>
          <w:sz w:val="21"/>
          <w:szCs w:val="20"/>
        </w:rPr>
        <w:t>全链路全场景媒介曝光,联合发布【全民科学饮奶计划】这一引领乳制品行业未来趋势的创造性概念，让牛奶匹配个性化营养需求,深度教育用户心智,加深品牌认知。</w:t>
      </w:r>
    </w:p>
    <w:p w14:paraId="66C3CEF5" w14:textId="4C967633" w:rsidR="00390E37" w:rsidRPr="008F041A" w:rsidRDefault="002109AD" w:rsidP="008F041A">
      <w:pPr>
        <w:spacing w:before="100" w:beforeAutospacing="1" w:after="100" w:afterAutospacing="1"/>
        <w:jc w:val="center"/>
        <w:textAlignment w:val="baseline"/>
        <w:rPr>
          <w:rFonts w:ascii="微软雅黑" w:eastAsia="微软雅黑" w:hAnsi="微软雅黑" w:hint="eastAsia"/>
          <w:sz w:val="21"/>
          <w:szCs w:val="21"/>
        </w:rPr>
      </w:pPr>
      <w:r>
        <w:rPr>
          <w:rFonts w:hint="eastAsia"/>
          <w:noProof/>
        </w:rPr>
        <w:drawing>
          <wp:inline distT="0" distB="0" distL="114300" distR="114300" wp14:anchorId="69836DB3" wp14:editId="7214603D">
            <wp:extent cx="6125845" cy="1664335"/>
            <wp:effectExtent l="0" t="0" r="0" b="12065"/>
            <wp:docPr id="11" name="图片 11" descr="营销总策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营销总策略"/>
                    <pic:cNvPicPr>
                      <a:picLocks noChangeAspect="1"/>
                    </pic:cNvPicPr>
                  </pic:nvPicPr>
                  <pic:blipFill>
                    <a:blip r:embed="rId12"/>
                    <a:stretch>
                      <a:fillRect/>
                    </a:stretch>
                  </pic:blipFill>
                  <pic:spPr>
                    <a:xfrm>
                      <a:off x="0" y="0"/>
                      <a:ext cx="6125845" cy="1664335"/>
                    </a:xfrm>
                    <a:prstGeom prst="rect">
                      <a:avLst/>
                    </a:prstGeom>
                  </pic:spPr>
                </pic:pic>
              </a:graphicData>
            </a:graphic>
          </wp:inline>
        </w:drawing>
      </w:r>
    </w:p>
    <w:p w14:paraId="4A6986BB" w14:textId="43416775" w:rsidR="002109AD" w:rsidRPr="008F041A" w:rsidRDefault="002109AD" w:rsidP="008F041A">
      <w:pPr>
        <w:spacing w:before="100" w:beforeAutospacing="1" w:after="100" w:afterAutospacing="1"/>
        <w:textAlignment w:val="baseline"/>
        <w:rPr>
          <w:rFonts w:ascii="微软雅黑" w:eastAsia="微软雅黑" w:hAnsi="微软雅黑" w:hint="eastAsia"/>
          <w:b/>
          <w:color w:val="0000FF"/>
          <w:sz w:val="28"/>
        </w:rPr>
      </w:pPr>
      <w:r>
        <w:rPr>
          <w:rFonts w:ascii="微软雅黑" w:eastAsia="微软雅黑" w:hAnsi="微软雅黑" w:hint="eastAsia"/>
          <w:b/>
          <w:color w:val="0000FF"/>
          <w:sz w:val="28"/>
        </w:rPr>
        <w:t>执行过程/媒体表现</w:t>
      </w:r>
    </w:p>
    <w:p w14:paraId="4D62A2AE"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1-线上圈层预热</w:t>
      </w:r>
    </w:p>
    <w:p w14:paraId="5C07BDFB"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1）米粉社区预热招募，在科技爱好核心人群中掀起悬念，引发圈层扩散效应</w:t>
      </w:r>
    </w:p>
    <w:p w14:paraId="30103F0B"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小米社区是小米全系列产品线上沟通平台，全国米粉线上的家。米粉们纷纷在招募贴下留言献计献策，提出对“科技×牛奶”的期待。</w:t>
      </w:r>
    </w:p>
    <w:p w14:paraId="527B5E52" w14:textId="3F2AC0AE" w:rsidR="00390E37" w:rsidRDefault="002109AD" w:rsidP="008F041A">
      <w:pPr>
        <w:spacing w:before="100" w:beforeAutospacing="1" w:after="100" w:afterAutospacing="1"/>
        <w:textAlignment w:val="baseline"/>
        <w:rPr>
          <w:rFonts w:hint="eastAsia"/>
          <w:bCs/>
          <w:color w:val="0D0D0D" w:themeColor="text1" w:themeTint="F2"/>
          <w:kern w:val="2"/>
          <w:sz w:val="21"/>
          <w:szCs w:val="21"/>
        </w:rPr>
      </w:pPr>
      <w:r>
        <w:rPr>
          <w:bCs/>
          <w:noProof/>
          <w:color w:val="0D0D0D" w:themeColor="text1" w:themeTint="F2"/>
          <w:kern w:val="2"/>
          <w:sz w:val="21"/>
          <w:szCs w:val="21"/>
        </w:rPr>
        <w:lastRenderedPageBreak/>
        <w:drawing>
          <wp:inline distT="0" distB="0" distL="114300" distR="114300" wp14:anchorId="12BCF9CD" wp14:editId="76C7E7D7">
            <wp:extent cx="5712460" cy="2442845"/>
            <wp:effectExtent l="0" t="0" r="2540" b="8255"/>
            <wp:docPr id="12" name="图片 12" descr="线上圈层预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线上圈层预热"/>
                    <pic:cNvPicPr>
                      <a:picLocks noChangeAspect="1"/>
                    </pic:cNvPicPr>
                  </pic:nvPicPr>
                  <pic:blipFill>
                    <a:blip r:embed="rId13"/>
                    <a:stretch>
                      <a:fillRect/>
                    </a:stretch>
                  </pic:blipFill>
                  <pic:spPr>
                    <a:xfrm>
                      <a:off x="0" y="0"/>
                      <a:ext cx="5712460" cy="2442845"/>
                    </a:xfrm>
                    <a:prstGeom prst="rect">
                      <a:avLst/>
                    </a:prstGeom>
                  </pic:spPr>
                </pic:pic>
              </a:graphicData>
            </a:graphic>
          </wp:inline>
        </w:drawing>
      </w:r>
    </w:p>
    <w:p w14:paraId="61DE3FBC"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2-AIoT产品打通</w:t>
      </w:r>
    </w:p>
    <w:p w14:paraId="2640083C"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1）</w:t>
      </w:r>
      <w:r>
        <w:rPr>
          <w:rFonts w:ascii="微软雅黑" w:eastAsia="微软雅黑" w:hAnsi="微软雅黑" w:cs="Times New Roman"/>
          <w:b/>
          <w:bCs/>
          <w:kern w:val="2"/>
          <w:sz w:val="21"/>
          <w:szCs w:val="20"/>
        </w:rPr>
        <w:t>小米智能物联（</w:t>
      </w:r>
      <w:proofErr w:type="spellStart"/>
      <w:r>
        <w:rPr>
          <w:rFonts w:ascii="微软雅黑" w:eastAsia="微软雅黑" w:hAnsi="微软雅黑" w:cs="Times New Roman"/>
          <w:b/>
          <w:bCs/>
          <w:kern w:val="2"/>
          <w:sz w:val="21"/>
          <w:szCs w:val="20"/>
        </w:rPr>
        <w:t>AIoT</w:t>
      </w:r>
      <w:proofErr w:type="spellEnd"/>
      <w:r>
        <w:rPr>
          <w:rFonts w:ascii="微软雅黑" w:eastAsia="微软雅黑" w:hAnsi="微软雅黑" w:cs="Times New Roman"/>
          <w:b/>
          <w:bCs/>
          <w:kern w:val="2"/>
          <w:sz w:val="21"/>
          <w:szCs w:val="20"/>
        </w:rPr>
        <w:t>）爆款产品——小米手表，全方位监测身体状况</w:t>
      </w:r>
    </w:p>
    <w:p w14:paraId="01889FB8" w14:textId="77777777" w:rsidR="00390E37" w:rsidRDefault="002109AD" w:rsidP="008F041A">
      <w:pPr>
        <w:spacing w:before="100" w:beforeAutospacing="1" w:after="100" w:afterAutospacing="1"/>
        <w:rPr>
          <w:bCs/>
          <w:color w:val="0D0D0D" w:themeColor="text1" w:themeTint="F2"/>
          <w:kern w:val="2"/>
          <w:sz w:val="21"/>
          <w:szCs w:val="21"/>
        </w:rPr>
      </w:pPr>
      <w:r>
        <w:rPr>
          <w:rFonts w:ascii="微软雅黑" w:eastAsia="微软雅黑" w:hAnsi="微软雅黑" w:cs="Times New Roman"/>
          <w:kern w:val="2"/>
          <w:sz w:val="21"/>
          <w:szCs w:val="20"/>
        </w:rPr>
        <w:t>截至2020年Q3，小米可穿戴设备出货量全球第二，作为智能设备在手腕上的延伸，小米手表在健康场景上，搭载了睡眠监测、心率监测、运动监测等多种感知身体状况的功能，可以实现全方位科技监测消费者体质。</w:t>
      </w:r>
    </w:p>
    <w:p w14:paraId="281F256F" w14:textId="662EB07F" w:rsidR="00390E37" w:rsidRDefault="002109AD" w:rsidP="008F041A">
      <w:pPr>
        <w:spacing w:before="100" w:beforeAutospacing="1" w:after="100" w:afterAutospacing="1"/>
        <w:jc w:val="center"/>
        <w:textAlignment w:val="baseline"/>
        <w:rPr>
          <w:rFonts w:hint="eastAsia"/>
          <w:bCs/>
          <w:color w:val="0D0D0D" w:themeColor="text1" w:themeTint="F2"/>
          <w:kern w:val="2"/>
          <w:sz w:val="21"/>
          <w:szCs w:val="21"/>
        </w:rPr>
      </w:pPr>
      <w:r>
        <w:rPr>
          <w:rFonts w:hint="eastAsia"/>
          <w:bCs/>
          <w:noProof/>
          <w:color w:val="0D0D0D" w:themeColor="text1" w:themeTint="F2"/>
          <w:kern w:val="2"/>
          <w:sz w:val="21"/>
          <w:szCs w:val="21"/>
        </w:rPr>
        <w:drawing>
          <wp:inline distT="0" distB="0" distL="114300" distR="114300" wp14:anchorId="6E16100C" wp14:editId="5F72A0C2">
            <wp:extent cx="5708650" cy="2236470"/>
            <wp:effectExtent l="0" t="0" r="0" b="0"/>
            <wp:docPr id="14" name="图片 14" descr="创意执行手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创意执行手表2"/>
                    <pic:cNvPicPr>
                      <a:picLocks noChangeAspect="1"/>
                    </pic:cNvPicPr>
                  </pic:nvPicPr>
                  <pic:blipFill>
                    <a:blip r:embed="rId14"/>
                    <a:stretch>
                      <a:fillRect/>
                    </a:stretch>
                  </pic:blipFill>
                  <pic:spPr>
                    <a:xfrm>
                      <a:off x="0" y="0"/>
                      <a:ext cx="5708650" cy="2236470"/>
                    </a:xfrm>
                    <a:prstGeom prst="rect">
                      <a:avLst/>
                    </a:prstGeom>
                  </pic:spPr>
                </pic:pic>
              </a:graphicData>
            </a:graphic>
          </wp:inline>
        </w:drawing>
      </w:r>
    </w:p>
    <w:p w14:paraId="4DEBE705"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2）定制“科技牛奶”app搭配</w:t>
      </w:r>
      <w:proofErr w:type="spellStart"/>
      <w:r>
        <w:rPr>
          <w:rFonts w:ascii="微软雅黑" w:eastAsia="微软雅黑" w:hAnsi="微软雅黑" w:cs="Times New Roman" w:hint="eastAsia"/>
          <w:b/>
          <w:bCs/>
          <w:kern w:val="2"/>
          <w:sz w:val="21"/>
          <w:szCs w:val="20"/>
        </w:rPr>
        <w:t>AIoT</w:t>
      </w:r>
      <w:proofErr w:type="spellEnd"/>
      <w:r>
        <w:rPr>
          <w:rFonts w:ascii="微软雅黑" w:eastAsia="微软雅黑" w:hAnsi="微软雅黑" w:cs="Times New Roman" w:hint="eastAsia"/>
          <w:b/>
          <w:bCs/>
          <w:kern w:val="2"/>
          <w:sz w:val="21"/>
          <w:szCs w:val="20"/>
        </w:rPr>
        <w:t>手表，有效识别消费者营养需求，精准匹配科学健康饮奶方案</w:t>
      </w:r>
    </w:p>
    <w:p w14:paraId="6E0A8088"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b/>
          <w:bCs/>
          <w:kern w:val="2"/>
          <w:sz w:val="21"/>
          <w:szCs w:val="20"/>
        </w:rPr>
        <w:t>①</w:t>
      </w:r>
      <w:r>
        <w:rPr>
          <w:rFonts w:ascii="微软雅黑" w:eastAsia="微软雅黑" w:hAnsi="微软雅黑" w:cs="Times New Roman" w:hint="eastAsia"/>
          <w:b/>
          <w:bCs/>
          <w:kern w:val="2"/>
          <w:sz w:val="21"/>
          <w:szCs w:val="20"/>
        </w:rPr>
        <w:t>流量便捷直达。</w:t>
      </w:r>
      <w:r>
        <w:rPr>
          <w:rFonts w:ascii="微软雅黑" w:eastAsia="微软雅黑" w:hAnsi="微软雅黑" w:cs="Times New Roman" w:hint="eastAsia"/>
          <w:kern w:val="2"/>
          <w:sz w:val="21"/>
          <w:szCs w:val="20"/>
        </w:rPr>
        <w:t>在小米手表植入科技牛奶app作为高频使用入口，用户可以通过手表app快速进入白科技界面。</w:t>
      </w:r>
    </w:p>
    <w:p w14:paraId="23F1D9D1"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b/>
          <w:bCs/>
          <w:kern w:val="2"/>
          <w:sz w:val="21"/>
          <w:szCs w:val="20"/>
        </w:rPr>
        <w:t>②</w:t>
      </w:r>
      <w:r>
        <w:rPr>
          <w:rFonts w:ascii="微软雅黑" w:eastAsia="微软雅黑" w:hAnsi="微软雅黑" w:cs="Times New Roman" w:hint="eastAsia"/>
          <w:b/>
          <w:bCs/>
          <w:kern w:val="2"/>
          <w:sz w:val="21"/>
          <w:szCs w:val="20"/>
        </w:rPr>
        <w:t>可穿戴设备数据读取。</w:t>
      </w:r>
      <w:r>
        <w:rPr>
          <w:rFonts w:ascii="微软雅黑" w:eastAsia="微软雅黑" w:hAnsi="微软雅黑" w:cs="Times New Roman" w:hint="eastAsia"/>
          <w:kern w:val="2"/>
          <w:sz w:val="21"/>
          <w:szCs w:val="20"/>
        </w:rPr>
        <w:t>小米手表读取用户睡眠、心率、运动等数据，时刻监测用户身体机能状态。</w:t>
      </w:r>
    </w:p>
    <w:p w14:paraId="103DFCDF"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b/>
          <w:bCs/>
          <w:kern w:val="2"/>
          <w:sz w:val="21"/>
          <w:szCs w:val="20"/>
        </w:rPr>
        <w:t>③</w:t>
      </w:r>
      <w:r>
        <w:rPr>
          <w:rFonts w:ascii="微软雅黑" w:eastAsia="微软雅黑" w:hAnsi="微软雅黑" w:cs="Times New Roman" w:hint="eastAsia"/>
          <w:b/>
          <w:bCs/>
          <w:kern w:val="2"/>
          <w:sz w:val="21"/>
          <w:szCs w:val="20"/>
        </w:rPr>
        <w:t>AI知识库营养智能分析。</w:t>
      </w:r>
      <w:r>
        <w:rPr>
          <w:rFonts w:ascii="微软雅黑" w:eastAsia="微软雅黑" w:hAnsi="微软雅黑" w:cs="Times New Roman" w:hint="eastAsia"/>
          <w:kern w:val="2"/>
          <w:sz w:val="21"/>
          <w:szCs w:val="20"/>
        </w:rPr>
        <w:t>通过手表获取的数据，利用AI运算智能匹配伊利后台营养知识库，推送每日营销分析报告，用户可以便捷获得自己的专属营销状态分析。此外，用户可以预约每日饮奶提醒（系统通知栏定点推送）。小米科技助力伊利品牌获得持续性互动与点击！</w:t>
      </w:r>
    </w:p>
    <w:p w14:paraId="351AB79A"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b/>
          <w:bCs/>
          <w:kern w:val="2"/>
          <w:sz w:val="21"/>
          <w:szCs w:val="20"/>
        </w:rPr>
        <w:lastRenderedPageBreak/>
        <w:t>④知识科普、精准导流线上线下双平台转化。</w:t>
      </w:r>
      <w:r>
        <w:rPr>
          <w:rFonts w:ascii="微软雅黑" w:eastAsia="微软雅黑" w:hAnsi="微软雅黑" w:cs="Times New Roman" w:hint="eastAsia"/>
          <w:kern w:val="2"/>
          <w:sz w:val="21"/>
          <w:szCs w:val="20"/>
        </w:rPr>
        <w:t>根据用户不同的营养状态，科技牛奶app为用户带来知识科普及个性化饮奶方案。用户可以轻松找到适合自身状态的伊利产品并能通过产品详情页深入了解不同伊利产品的营养与功效，最终通过小程序二维码一键下单或通过伊利线下智能货柜与合作超市（多点、永辉）购买。</w:t>
      </w:r>
    </w:p>
    <w:p w14:paraId="3E0814E3" w14:textId="2835D773" w:rsidR="00390E37" w:rsidRDefault="002109AD" w:rsidP="008F041A">
      <w:pPr>
        <w:widowControl w:val="0"/>
        <w:spacing w:before="100" w:beforeAutospacing="1" w:after="100" w:afterAutospacing="1"/>
        <w:jc w:val="both"/>
        <w:textAlignment w:val="baseline"/>
        <w:rPr>
          <w:rFonts w:hint="eastAsia"/>
          <w:bCs/>
          <w:color w:val="0D0D0D" w:themeColor="text1" w:themeTint="F2"/>
          <w:kern w:val="2"/>
          <w:sz w:val="21"/>
          <w:szCs w:val="21"/>
        </w:rPr>
      </w:pPr>
      <w:r>
        <w:rPr>
          <w:rFonts w:hint="eastAsia"/>
          <w:bCs/>
          <w:noProof/>
          <w:color w:val="0D0D0D" w:themeColor="text1" w:themeTint="F2"/>
          <w:kern w:val="2"/>
          <w:sz w:val="21"/>
          <w:szCs w:val="21"/>
        </w:rPr>
        <w:drawing>
          <wp:inline distT="0" distB="0" distL="114300" distR="114300" wp14:anchorId="4B8E0AD1" wp14:editId="2341D3B0">
            <wp:extent cx="5712460" cy="1878330"/>
            <wp:effectExtent l="0" t="0" r="2540" b="1270"/>
            <wp:docPr id="15" name="图片 15" descr="创意执行-AIoT产品打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创意执行-AIoT产品打通"/>
                    <pic:cNvPicPr>
                      <a:picLocks noChangeAspect="1"/>
                    </pic:cNvPicPr>
                  </pic:nvPicPr>
                  <pic:blipFill>
                    <a:blip r:embed="rId15"/>
                    <a:stretch>
                      <a:fillRect/>
                    </a:stretch>
                  </pic:blipFill>
                  <pic:spPr>
                    <a:xfrm>
                      <a:off x="0" y="0"/>
                      <a:ext cx="5712460" cy="1878330"/>
                    </a:xfrm>
                    <a:prstGeom prst="rect">
                      <a:avLst/>
                    </a:prstGeom>
                  </pic:spPr>
                </pic:pic>
              </a:graphicData>
            </a:graphic>
          </wp:inline>
        </w:drawing>
      </w:r>
    </w:p>
    <w:p w14:paraId="57160B86"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3-重量级会议，战略盛大发布</w:t>
      </w:r>
    </w:p>
    <w:p w14:paraId="03C50354"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1）伊利×小米，全民科学饮奶计划战略发布</w:t>
      </w:r>
    </w:p>
    <w:p w14:paraId="381D535B"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2020年11月22日，伊利与小米在乌镇互联网大会</w:t>
      </w:r>
      <w:r>
        <w:rPr>
          <w:rFonts w:ascii="微软雅黑" w:eastAsia="微软雅黑" w:hAnsi="微软雅黑" w:cs="Times New Roman" w:hint="eastAsia"/>
          <w:kern w:val="2"/>
          <w:sz w:val="21"/>
          <w:szCs w:val="20"/>
        </w:rPr>
        <w:t>进行</w:t>
      </w:r>
      <w:r>
        <w:rPr>
          <w:rFonts w:ascii="微软雅黑" w:eastAsia="微软雅黑" w:hAnsi="微软雅黑" w:cs="Times New Roman"/>
          <w:kern w:val="2"/>
          <w:sz w:val="21"/>
          <w:szCs w:val="20"/>
        </w:rPr>
        <w:t>国民级品牌合作</w:t>
      </w:r>
      <w:r>
        <w:rPr>
          <w:rFonts w:ascii="微软雅黑" w:eastAsia="微软雅黑" w:hAnsi="微软雅黑" w:cs="Times New Roman" w:hint="eastAsia"/>
          <w:kern w:val="2"/>
          <w:sz w:val="21"/>
          <w:szCs w:val="20"/>
        </w:rPr>
        <w:t>，</w:t>
      </w:r>
      <w:r>
        <w:rPr>
          <w:rFonts w:ascii="微软雅黑" w:eastAsia="微软雅黑" w:hAnsi="微软雅黑" w:cs="Times New Roman"/>
          <w:kern w:val="2"/>
          <w:sz w:val="21"/>
          <w:szCs w:val="20"/>
        </w:rPr>
        <w:t>盛大发布2020全民科学饮奶计划，伊利集团副总裁王维与小米集团CMO杨柘共同为计划揭幕，官宣达成战略合作，共同打造乳品行业营养定制服务，造福中国亿万家庭，将国民健康提升至新的高度</w:t>
      </w:r>
      <w:r>
        <w:rPr>
          <w:rFonts w:ascii="微软雅黑" w:eastAsia="微软雅黑" w:hAnsi="微软雅黑" w:cs="Times New Roman" w:hint="eastAsia"/>
          <w:kern w:val="2"/>
          <w:sz w:val="21"/>
          <w:szCs w:val="20"/>
        </w:rPr>
        <w:t>。</w:t>
      </w:r>
    </w:p>
    <w:p w14:paraId="02F3F235" w14:textId="2BDDBBBD" w:rsidR="00390E37" w:rsidRPr="008F041A" w:rsidRDefault="002109AD" w:rsidP="008F041A">
      <w:pPr>
        <w:widowControl w:val="0"/>
        <w:spacing w:before="100" w:beforeAutospacing="1" w:after="100" w:afterAutospacing="1"/>
        <w:jc w:val="both"/>
        <w:textAlignment w:val="baseline"/>
        <w:rPr>
          <w:rFonts w:hint="eastAsia"/>
          <w:bCs/>
          <w:color w:val="0D0D0D" w:themeColor="text1" w:themeTint="F2"/>
          <w:kern w:val="2"/>
          <w:sz w:val="21"/>
          <w:szCs w:val="21"/>
        </w:rPr>
      </w:pPr>
      <w:r>
        <w:rPr>
          <w:bCs/>
          <w:noProof/>
          <w:color w:val="0D0D0D" w:themeColor="text1" w:themeTint="F2"/>
          <w:kern w:val="2"/>
          <w:sz w:val="21"/>
          <w:szCs w:val="21"/>
        </w:rPr>
        <w:drawing>
          <wp:inline distT="0" distB="0" distL="114300" distR="114300" wp14:anchorId="2F62BFA9" wp14:editId="7A5F7D20">
            <wp:extent cx="5704205" cy="1736725"/>
            <wp:effectExtent l="0" t="0" r="10795" b="3175"/>
            <wp:docPr id="16" name="图片 16" descr="创意执行-会议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创意执行-会议发布"/>
                    <pic:cNvPicPr>
                      <a:picLocks noChangeAspect="1"/>
                    </pic:cNvPicPr>
                  </pic:nvPicPr>
                  <pic:blipFill>
                    <a:blip r:embed="rId16"/>
                    <a:stretch>
                      <a:fillRect/>
                    </a:stretch>
                  </pic:blipFill>
                  <pic:spPr>
                    <a:xfrm>
                      <a:off x="0" y="0"/>
                      <a:ext cx="5704205" cy="1736725"/>
                    </a:xfrm>
                    <a:prstGeom prst="rect">
                      <a:avLst/>
                    </a:prstGeom>
                  </pic:spPr>
                </pic:pic>
              </a:graphicData>
            </a:graphic>
          </wp:inline>
        </w:drawing>
      </w:r>
    </w:p>
    <w:p w14:paraId="639F8BA8"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rPr>
      </w:pPr>
      <w:r>
        <w:rPr>
          <w:rFonts w:ascii="微软雅黑" w:eastAsia="微软雅黑" w:hAnsi="微软雅黑" w:cs="Times New Roman" w:hint="eastAsia"/>
          <w:b/>
          <w:bCs/>
          <w:kern w:val="2"/>
          <w:sz w:val="21"/>
          <w:szCs w:val="20"/>
        </w:rPr>
        <w:t>2）“牛奶白科技空间”快闪店现身会场，让用户亲身感受科学饮奶全流程</w:t>
      </w:r>
    </w:p>
    <w:p w14:paraId="7ABD92E8"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潮流的饮奶方式吸引了诸多年轻人和时尚博主前来打卡，让消费者们可以切身、立体地感受科学饮奶的详细过程，增加</w:t>
      </w:r>
      <w:r>
        <w:rPr>
          <w:rFonts w:ascii="微软雅黑" w:eastAsia="微软雅黑" w:hAnsi="微软雅黑" w:cs="Times New Roman" w:hint="eastAsia"/>
          <w:kern w:val="2"/>
          <w:sz w:val="21"/>
          <w:szCs w:val="20"/>
        </w:rPr>
        <w:t>其</w:t>
      </w:r>
      <w:r>
        <w:rPr>
          <w:rFonts w:ascii="微软雅黑" w:eastAsia="微软雅黑" w:hAnsi="微软雅黑" w:cs="Times New Roman"/>
          <w:kern w:val="2"/>
          <w:sz w:val="21"/>
          <w:szCs w:val="20"/>
        </w:rPr>
        <w:t>对“科学饮奶”的潮流消费方式的认可</w:t>
      </w:r>
      <w:r>
        <w:rPr>
          <w:rFonts w:ascii="微软雅黑" w:eastAsia="微软雅黑" w:hAnsi="微软雅黑" w:cs="Times New Roman" w:hint="eastAsia"/>
          <w:kern w:val="2"/>
          <w:sz w:val="21"/>
          <w:szCs w:val="20"/>
        </w:rPr>
        <w:t>。</w:t>
      </w:r>
    </w:p>
    <w:p w14:paraId="55B9CE2F"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①通过手触屏幕开启“检测”，通过回答系列问题，在智能手表上会显示自己的“专属二维码”</w:t>
      </w:r>
      <w:r>
        <w:rPr>
          <w:rFonts w:ascii="微软雅黑" w:eastAsia="微软雅黑" w:hAnsi="微软雅黑" w:cs="Times New Roman" w:hint="eastAsia"/>
          <w:kern w:val="2"/>
          <w:sz w:val="21"/>
          <w:szCs w:val="20"/>
        </w:rPr>
        <w:t>。</w:t>
      </w:r>
    </w:p>
    <w:p w14:paraId="5427BD4F"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②白科技定制APK介绍、伊利牛奶系列产品展示</w:t>
      </w:r>
      <w:r>
        <w:rPr>
          <w:rFonts w:ascii="微软雅黑" w:eastAsia="微软雅黑" w:hAnsi="微软雅黑" w:cs="Times New Roman" w:hint="eastAsia"/>
          <w:kern w:val="2"/>
          <w:sz w:val="21"/>
          <w:szCs w:val="20"/>
        </w:rPr>
        <w:t>。</w:t>
      </w:r>
    </w:p>
    <w:p w14:paraId="1396708B"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③用户将“”专属二维码“进行扫描/或使用小米手表NFC碰触后，会展示个人健康数据分析，并自动弹出适合TA饮用的牛奶 </w:t>
      </w:r>
      <w:r>
        <w:rPr>
          <w:rFonts w:ascii="微软雅黑" w:eastAsia="微软雅黑" w:hAnsi="微软雅黑" w:cs="Times New Roman" w:hint="eastAsia"/>
          <w:kern w:val="2"/>
          <w:sz w:val="21"/>
          <w:szCs w:val="20"/>
        </w:rPr>
        <w:t>。</w:t>
      </w:r>
    </w:p>
    <w:p w14:paraId="0D684D1B"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lastRenderedPageBreak/>
        <w:t>④用户拿着为其推荐的牛奶，到智能餐桌区域，将产品放置在餐桌上的扫描区，即可在智能屏幕上查看牛奶的营养成分，了解产品与自身健康状况的契合点。</w:t>
      </w:r>
    </w:p>
    <w:p w14:paraId="6752F98B" w14:textId="7478059E" w:rsidR="00390E37" w:rsidRDefault="002109AD" w:rsidP="008F041A">
      <w:pPr>
        <w:spacing w:before="100" w:beforeAutospacing="1" w:after="100" w:afterAutospacing="1"/>
        <w:textAlignment w:val="baseline"/>
        <w:rPr>
          <w:rFonts w:hint="eastAsia"/>
          <w:bCs/>
          <w:color w:val="0D0D0D" w:themeColor="text1" w:themeTint="F2"/>
          <w:kern w:val="2"/>
          <w:sz w:val="21"/>
          <w:szCs w:val="21"/>
        </w:rPr>
      </w:pPr>
      <w:r>
        <w:rPr>
          <w:bCs/>
          <w:noProof/>
          <w:color w:val="0D0D0D" w:themeColor="text1" w:themeTint="F2"/>
          <w:kern w:val="2"/>
          <w:sz w:val="21"/>
          <w:szCs w:val="21"/>
        </w:rPr>
        <w:drawing>
          <wp:inline distT="0" distB="0" distL="114300" distR="114300" wp14:anchorId="3C502073" wp14:editId="68F99DF0">
            <wp:extent cx="5712460" cy="4116070"/>
            <wp:effectExtent l="0" t="0" r="2540" b="11430"/>
            <wp:docPr id="17" name="图片 17" descr="C:\Users\Savio_Xucong Chen\Desktop\2021报赛\IAI国际广告奖\新提报案例\伊利\创意执行-快闪2.png创意执行-快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Savio_Xucong Chen\Desktop\2021报赛\IAI国际广告奖\新提报案例\伊利\创意执行-快闪2.png创意执行-快闪2"/>
                    <pic:cNvPicPr>
                      <a:picLocks noChangeAspect="1"/>
                    </pic:cNvPicPr>
                  </pic:nvPicPr>
                  <pic:blipFill>
                    <a:blip r:embed="rId17"/>
                    <a:srcRect/>
                    <a:stretch>
                      <a:fillRect/>
                    </a:stretch>
                  </pic:blipFill>
                  <pic:spPr>
                    <a:xfrm>
                      <a:off x="0" y="0"/>
                      <a:ext cx="5712460" cy="4116070"/>
                    </a:xfrm>
                    <a:prstGeom prst="rect">
                      <a:avLst/>
                    </a:prstGeom>
                  </pic:spPr>
                </pic:pic>
              </a:graphicData>
            </a:graphic>
          </wp:inline>
        </w:drawing>
      </w:r>
    </w:p>
    <w:p w14:paraId="753C34B7"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4-AI深度教育用户</w:t>
      </w:r>
    </w:p>
    <w:p w14:paraId="21BF4DEA"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将伊利科学饮奶垂直知识库全面植入</w:t>
      </w:r>
      <w:r>
        <w:rPr>
          <w:rFonts w:ascii="微软雅黑" w:eastAsia="微软雅黑" w:hAnsi="微软雅黑" w:cs="Times New Roman"/>
          <w:kern w:val="2"/>
          <w:sz w:val="21"/>
          <w:szCs w:val="20"/>
        </w:rPr>
        <w:t>小爱音箱</w:t>
      </w:r>
      <w:r>
        <w:rPr>
          <w:rFonts w:ascii="微软雅黑" w:eastAsia="微软雅黑" w:hAnsi="微软雅黑" w:cs="Times New Roman" w:hint="eastAsia"/>
          <w:kern w:val="2"/>
          <w:sz w:val="21"/>
          <w:szCs w:val="20"/>
        </w:rPr>
        <w:t>，</w:t>
      </w:r>
      <w:r>
        <w:rPr>
          <w:rFonts w:ascii="微软雅黑" w:eastAsia="微软雅黑" w:hAnsi="微软雅黑" w:cs="Times New Roman"/>
          <w:kern w:val="2"/>
          <w:sz w:val="21"/>
          <w:szCs w:val="20"/>
        </w:rPr>
        <w:t>打造AI牛奶营养知识平台</w:t>
      </w:r>
      <w:r>
        <w:rPr>
          <w:rFonts w:ascii="微软雅黑" w:eastAsia="微软雅黑" w:hAnsi="微软雅黑" w:cs="Times New Roman" w:hint="eastAsia"/>
          <w:kern w:val="2"/>
          <w:sz w:val="21"/>
          <w:szCs w:val="20"/>
        </w:rPr>
        <w:t>。用户有任何关于饮奶方面的疑问，只需开口，一问便知。</w:t>
      </w:r>
    </w:p>
    <w:p w14:paraId="431CC02E" w14:textId="77777777" w:rsidR="00390E37" w:rsidRDefault="002109AD" w:rsidP="008F041A">
      <w:pPr>
        <w:spacing w:before="100" w:beforeAutospacing="1" w:after="100" w:afterAutospacing="1"/>
        <w:textAlignment w:val="baseline"/>
        <w:rPr>
          <w:bCs/>
          <w:color w:val="0D0D0D" w:themeColor="text1" w:themeTint="F2"/>
          <w:kern w:val="2"/>
          <w:sz w:val="21"/>
          <w:szCs w:val="21"/>
        </w:rPr>
      </w:pPr>
      <w:r>
        <w:rPr>
          <w:bCs/>
          <w:noProof/>
          <w:color w:val="0D0D0D" w:themeColor="text1" w:themeTint="F2"/>
          <w:kern w:val="2"/>
          <w:sz w:val="21"/>
          <w:szCs w:val="21"/>
        </w:rPr>
        <w:drawing>
          <wp:inline distT="0" distB="0" distL="114300" distR="114300" wp14:anchorId="4B2CE8F0" wp14:editId="14F1167B">
            <wp:extent cx="5708650" cy="2171700"/>
            <wp:effectExtent l="0" t="0" r="6350" b="0"/>
            <wp:docPr id="18" name="图片 18" descr="创意执行-小爱知识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创意执行-小爱知识库"/>
                    <pic:cNvPicPr>
                      <a:picLocks noChangeAspect="1"/>
                    </pic:cNvPicPr>
                  </pic:nvPicPr>
                  <pic:blipFill>
                    <a:blip r:embed="rId18"/>
                    <a:stretch>
                      <a:fillRect/>
                    </a:stretch>
                  </pic:blipFill>
                  <pic:spPr>
                    <a:xfrm>
                      <a:off x="0" y="0"/>
                      <a:ext cx="5708650" cy="2171700"/>
                    </a:xfrm>
                    <a:prstGeom prst="rect">
                      <a:avLst/>
                    </a:prstGeom>
                  </pic:spPr>
                </pic:pic>
              </a:graphicData>
            </a:graphic>
          </wp:inline>
        </w:drawing>
      </w:r>
    </w:p>
    <w:p w14:paraId="41058B10" w14:textId="77777777" w:rsidR="00390E37" w:rsidRDefault="002109AD" w:rsidP="008F041A">
      <w:pPr>
        <w:spacing w:before="100" w:beforeAutospacing="1" w:after="100" w:afterAutospacing="1"/>
        <w:rPr>
          <w:rFonts w:ascii="微软雅黑" w:eastAsia="微软雅黑" w:hAnsi="微软雅黑" w:cs="Times New Roman"/>
          <w:b/>
          <w:bCs/>
          <w:kern w:val="2"/>
          <w:sz w:val="21"/>
          <w:szCs w:val="20"/>
          <w:u w:val="single"/>
        </w:rPr>
      </w:pPr>
      <w:r>
        <w:rPr>
          <w:rFonts w:ascii="微软雅黑" w:eastAsia="微软雅黑" w:hAnsi="微软雅黑" w:cs="Times New Roman" w:hint="eastAsia"/>
          <w:b/>
          <w:bCs/>
          <w:kern w:val="2"/>
          <w:sz w:val="21"/>
          <w:szCs w:val="20"/>
          <w:u w:val="single"/>
        </w:rPr>
        <w:t>5-OTT家庭场景渗透</w:t>
      </w:r>
    </w:p>
    <w:p w14:paraId="0CB4C34D" w14:textId="77777777" w:rsidR="00390E37" w:rsidRDefault="002109AD" w:rsidP="008F041A">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cs="Times New Roman"/>
          <w:kern w:val="2"/>
          <w:sz w:val="21"/>
          <w:szCs w:val="20"/>
        </w:rPr>
        <w:t>AI+OTT大屏全链路，深度影响家庭饮奶决策</w:t>
      </w:r>
      <w:r>
        <w:rPr>
          <w:rFonts w:ascii="微软雅黑" w:eastAsia="微软雅黑" w:hAnsi="微软雅黑" w:cs="Times New Roman" w:hint="eastAsia"/>
          <w:kern w:val="2"/>
          <w:sz w:val="21"/>
          <w:szCs w:val="20"/>
        </w:rPr>
        <w:t>。原生创意广告覆盖必现路径广告，强势渗透用户家庭场景，联动专属品牌号，打造一站式伊利白科技内容传播矩阵。</w:t>
      </w:r>
    </w:p>
    <w:p w14:paraId="77262E37" w14:textId="3B7C74F0" w:rsidR="00390E37" w:rsidRPr="008F041A" w:rsidRDefault="002109AD" w:rsidP="008F041A">
      <w:pPr>
        <w:spacing w:before="100" w:beforeAutospacing="1" w:after="100" w:afterAutospacing="1"/>
        <w:textAlignment w:val="baseline"/>
        <w:rPr>
          <w:rFonts w:ascii="微软雅黑" w:eastAsia="微软雅黑" w:hAnsi="微软雅黑" w:hint="eastAsia"/>
          <w:sz w:val="21"/>
          <w:szCs w:val="21"/>
        </w:rPr>
      </w:pPr>
      <w:r>
        <w:rPr>
          <w:rFonts w:hint="eastAsia"/>
          <w:bCs/>
          <w:noProof/>
          <w:color w:val="0D0D0D" w:themeColor="text1" w:themeTint="F2"/>
          <w:kern w:val="2"/>
          <w:sz w:val="21"/>
          <w:szCs w:val="21"/>
        </w:rPr>
        <w:lastRenderedPageBreak/>
        <w:drawing>
          <wp:inline distT="0" distB="0" distL="114300" distR="114300" wp14:anchorId="7FF8379C" wp14:editId="707A4E16">
            <wp:extent cx="5708015" cy="2482850"/>
            <wp:effectExtent l="0" t="0" r="6985" b="6350"/>
            <wp:docPr id="19" name="图片 19" descr="创意执行-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创意执行-OTT"/>
                    <pic:cNvPicPr>
                      <a:picLocks noChangeAspect="1"/>
                    </pic:cNvPicPr>
                  </pic:nvPicPr>
                  <pic:blipFill>
                    <a:blip r:embed="rId19"/>
                    <a:stretch>
                      <a:fillRect/>
                    </a:stretch>
                  </pic:blipFill>
                  <pic:spPr>
                    <a:xfrm>
                      <a:off x="0" y="0"/>
                      <a:ext cx="5708015" cy="2482850"/>
                    </a:xfrm>
                    <a:prstGeom prst="rect">
                      <a:avLst/>
                    </a:prstGeom>
                  </pic:spPr>
                </pic:pic>
              </a:graphicData>
            </a:graphic>
          </wp:inline>
        </w:drawing>
      </w:r>
    </w:p>
    <w:p w14:paraId="23ED4F11" w14:textId="522CD351" w:rsidR="002109AD" w:rsidRPr="008F041A" w:rsidRDefault="002109AD" w:rsidP="008F041A">
      <w:pPr>
        <w:spacing w:before="100" w:beforeAutospacing="1" w:after="100" w:afterAutospacing="1"/>
        <w:textAlignment w:val="baseline"/>
        <w:rPr>
          <w:rFonts w:ascii="微软雅黑" w:eastAsia="微软雅黑" w:hAnsi="微软雅黑" w:hint="eastAsia"/>
          <w:b/>
          <w:color w:val="0000FF"/>
          <w:sz w:val="28"/>
        </w:rPr>
      </w:pPr>
      <w:r>
        <w:rPr>
          <w:rFonts w:ascii="微软雅黑" w:eastAsia="微软雅黑" w:hAnsi="微软雅黑" w:hint="eastAsia"/>
          <w:b/>
          <w:color w:val="0000FF"/>
          <w:sz w:val="28"/>
        </w:rPr>
        <w:t>营销效果与市场反馈</w:t>
      </w:r>
    </w:p>
    <w:p w14:paraId="61FF0D8D" w14:textId="77777777" w:rsidR="00390E37" w:rsidRDefault="002109AD">
      <w:pPr>
        <w:jc w:val="center"/>
        <w:rPr>
          <w:rFonts w:ascii="微软雅黑" w:eastAsia="微软雅黑" w:hAnsi="微软雅黑"/>
          <w:color w:val="FF0000"/>
          <w:szCs w:val="21"/>
        </w:rPr>
      </w:pPr>
      <w:r>
        <w:rPr>
          <w:rFonts w:cs="Times New Roman"/>
          <w:bCs/>
          <w:noProof/>
          <w:color w:val="0D0D0D" w:themeColor="text1" w:themeTint="F2"/>
          <w:szCs w:val="21"/>
        </w:rPr>
        <w:drawing>
          <wp:inline distT="0" distB="0" distL="114300" distR="114300" wp14:anchorId="1F1289EC" wp14:editId="3D621B53">
            <wp:extent cx="5798043" cy="2654709"/>
            <wp:effectExtent l="0" t="0" r="0" b="0"/>
            <wp:docPr id="22" name="图片 22" descr="效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效果1"/>
                    <pic:cNvPicPr>
                      <a:picLocks noChangeAspect="1"/>
                    </pic:cNvPicPr>
                  </pic:nvPicPr>
                  <pic:blipFill>
                    <a:blip r:embed="rId20"/>
                    <a:stretch>
                      <a:fillRect/>
                    </a:stretch>
                  </pic:blipFill>
                  <pic:spPr>
                    <a:xfrm>
                      <a:off x="0" y="0"/>
                      <a:ext cx="5851685" cy="2679270"/>
                    </a:xfrm>
                    <a:prstGeom prst="rect">
                      <a:avLst/>
                    </a:prstGeom>
                  </pic:spPr>
                </pic:pic>
              </a:graphicData>
            </a:graphic>
          </wp:inline>
        </w:drawing>
      </w:r>
      <w:r>
        <w:rPr>
          <w:rFonts w:cs="Times New Roman"/>
          <w:bCs/>
          <w:noProof/>
          <w:color w:val="0D0D0D" w:themeColor="text1" w:themeTint="F2"/>
          <w:szCs w:val="21"/>
        </w:rPr>
        <w:drawing>
          <wp:inline distT="0" distB="0" distL="114300" distR="114300" wp14:anchorId="6967AB6D" wp14:editId="49285EC5">
            <wp:extent cx="5941060" cy="3068955"/>
            <wp:effectExtent l="0" t="0" r="2540" b="4445"/>
            <wp:docPr id="21" name="图片 21" descr="效果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效果2"/>
                    <pic:cNvPicPr>
                      <a:picLocks noChangeAspect="1"/>
                    </pic:cNvPicPr>
                  </pic:nvPicPr>
                  <pic:blipFill>
                    <a:blip r:embed="rId21"/>
                    <a:stretch>
                      <a:fillRect/>
                    </a:stretch>
                  </pic:blipFill>
                  <pic:spPr>
                    <a:xfrm>
                      <a:off x="0" y="0"/>
                      <a:ext cx="5941060" cy="3068955"/>
                    </a:xfrm>
                    <a:prstGeom prst="rect">
                      <a:avLst/>
                    </a:prstGeom>
                  </pic:spPr>
                </pic:pic>
              </a:graphicData>
            </a:graphic>
          </wp:inline>
        </w:drawing>
      </w:r>
    </w:p>
    <w:sectPr w:rsidR="00390E37">
      <w:headerReference w:type="even" r:id="rId22"/>
      <w:headerReference w:type="default" r:id="rId23"/>
      <w:footerReference w:type="even" r:id="rId24"/>
      <w:footerReference w:type="default" r:id="rId25"/>
      <w:headerReference w:type="first" r:id="rId26"/>
      <w:footerReference w:type="first" r:id="rId2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33CAF" w14:textId="77777777" w:rsidR="005F286B" w:rsidRDefault="005F286B">
      <w:r>
        <w:separator/>
      </w:r>
    </w:p>
  </w:endnote>
  <w:endnote w:type="continuationSeparator" w:id="0">
    <w:p w14:paraId="57176F9F" w14:textId="77777777" w:rsidR="005F286B" w:rsidRDefault="005F2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B5546" w14:textId="77777777" w:rsidR="00390E37" w:rsidRDefault="002109AD">
    <w:pPr>
      <w:pStyle w:val="a8"/>
      <w:framePr w:wrap="around" w:vAnchor="text" w:hAnchor="margin" w:xAlign="right" w:y="1"/>
      <w:rPr>
        <w:rStyle w:val="af"/>
      </w:rPr>
    </w:pPr>
    <w:r>
      <w:fldChar w:fldCharType="begin"/>
    </w:r>
    <w:r>
      <w:rPr>
        <w:rStyle w:val="af"/>
      </w:rPr>
      <w:instrText xml:space="preserve">PAGE  </w:instrText>
    </w:r>
    <w:r>
      <w:fldChar w:fldCharType="separate"/>
    </w:r>
    <w:r>
      <w:rPr>
        <w:rStyle w:val="af"/>
      </w:rPr>
      <w:t>1</w:t>
    </w:r>
    <w:r>
      <w:fldChar w:fldCharType="end"/>
    </w:r>
  </w:p>
  <w:p w14:paraId="21E345E8" w14:textId="77777777" w:rsidR="00390E37" w:rsidRDefault="00390E37">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0F426" w14:textId="77777777" w:rsidR="00390E37" w:rsidRDefault="00390E37">
    <w:pPr>
      <w:pStyle w:val="a8"/>
      <w:framePr w:wrap="around" w:vAnchor="text" w:hAnchor="margin" w:xAlign="right" w:y="1"/>
      <w:rPr>
        <w:rStyle w:val="af"/>
      </w:rPr>
    </w:pPr>
  </w:p>
  <w:p w14:paraId="78B341D9" w14:textId="77777777" w:rsidR="00390E37" w:rsidRDefault="00390E37">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5105E" w14:textId="77777777" w:rsidR="00390E37" w:rsidRDefault="00390E3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C21B7" w14:textId="77777777" w:rsidR="005F286B" w:rsidRDefault="005F286B">
      <w:r>
        <w:separator/>
      </w:r>
    </w:p>
  </w:footnote>
  <w:footnote w:type="continuationSeparator" w:id="0">
    <w:p w14:paraId="74073233" w14:textId="77777777" w:rsidR="005F286B" w:rsidRDefault="005F2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C1860" w14:textId="77777777" w:rsidR="00390E37" w:rsidRDefault="00390E37">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BF8DB" w14:textId="77777777" w:rsidR="00390E37" w:rsidRDefault="002109AD">
    <w:pPr>
      <w:pStyle w:val="a9"/>
      <w:jc w:val="both"/>
      <w:rPr>
        <w:rFonts w:ascii="微软雅黑" w:eastAsia="微软雅黑" w:hAnsi="微软雅黑"/>
        <w:color w:val="333333"/>
        <w:sz w:val="21"/>
      </w:rPr>
    </w:pPr>
    <w:r>
      <w:rPr>
        <w:b/>
        <w:noProof/>
        <w:color w:val="333333"/>
        <w:sz w:val="21"/>
      </w:rPr>
      <w:drawing>
        <wp:inline distT="0" distB="0" distL="0" distR="0" wp14:anchorId="0C2A204A" wp14:editId="47256FC1">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909AC" w14:textId="77777777" w:rsidR="00390E37" w:rsidRDefault="00390E3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109AD"/>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90E37"/>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F286B"/>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041A"/>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2E09"/>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469E01F2"/>
    <w:rsid w:val="68896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E9CAC"/>
  <w15:docId w15:val="{564A5C20-5ECE-4737-9F76-CE08516A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nhideWhenUsed/>
    <w:qFormat/>
  </w:style>
  <w:style w:type="paragraph" w:styleId="a4">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5">
    <w:name w:val="Plain Text"/>
    <w:basedOn w:val="a"/>
    <w:qFormat/>
    <w:rPr>
      <w:rFonts w:ascii="Arial" w:hAnsi="Arial" w:cs="Times New Roman"/>
      <w:sz w:val="18"/>
      <w:szCs w:val="20"/>
    </w:rPr>
  </w:style>
  <w:style w:type="paragraph" w:styleId="a6">
    <w:name w:val="Balloon Text"/>
    <w:basedOn w:val="a"/>
    <w:link w:val="a7"/>
    <w:uiPriority w:val="99"/>
    <w:semiHidden/>
    <w:unhideWhenUsed/>
    <w:qFormat/>
    <w:rPr>
      <w:sz w:val="18"/>
      <w:szCs w:val="18"/>
    </w:rPr>
  </w:style>
  <w:style w:type="paragraph" w:styleId="a8">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9">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a">
    <w:name w:val="Normal (Web)"/>
    <w:basedOn w:val="a"/>
    <w:qFormat/>
    <w:pPr>
      <w:spacing w:before="100" w:beforeAutospacing="1" w:after="100" w:afterAutospacing="1"/>
    </w:pPr>
    <w:rPr>
      <w:rFonts w:cs="Times New Roman"/>
      <w:szCs w:val="20"/>
    </w:rPr>
  </w:style>
  <w:style w:type="paragraph" w:styleId="ab">
    <w:name w:val="Title"/>
    <w:basedOn w:val="a"/>
    <w:link w:val="ac"/>
    <w:qFormat/>
    <w:pPr>
      <w:jc w:val="center"/>
    </w:pPr>
    <w:rPr>
      <w:rFonts w:ascii="Times New Roman" w:hAnsi="Times New Roman" w:cs="Times New Roman"/>
      <w:b/>
      <w:kern w:val="2"/>
      <w:sz w:val="28"/>
      <w:szCs w:val="20"/>
      <w:lang w:eastAsia="en-US"/>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Strong"/>
    <w:basedOn w:val="a0"/>
    <w:qFormat/>
    <w:rPr>
      <w:b/>
    </w:rPr>
  </w:style>
  <w:style w:type="character" w:styleId="af">
    <w:name w:val="page number"/>
    <w:basedOn w:val="a0"/>
    <w:qFormat/>
  </w:style>
  <w:style w:type="character" w:styleId="af0">
    <w:name w:val="FollowedHyperlink"/>
    <w:basedOn w:val="a0"/>
    <w:uiPriority w:val="99"/>
    <w:semiHidden/>
    <w:unhideWhenUsed/>
    <w:qFormat/>
    <w:rPr>
      <w:color w:val="800080"/>
      <w:u w:val="single"/>
    </w:rPr>
  </w:style>
  <w:style w:type="character" w:styleId="af1">
    <w:name w:val="Emphasis"/>
    <w:basedOn w:val="a0"/>
    <w:qFormat/>
    <w:rPr>
      <w:i/>
    </w:rPr>
  </w:style>
  <w:style w:type="character" w:styleId="af2">
    <w:name w:val="Hyperlink"/>
    <w:basedOn w:val="a0"/>
    <w:qFormat/>
    <w:rPr>
      <w:color w:val="0000FF"/>
      <w:u w:val="single"/>
    </w:rPr>
  </w:style>
  <w:style w:type="character" w:customStyle="1" w:styleId="ac">
    <w:name w:val="标题 字符"/>
    <w:basedOn w:val="a0"/>
    <w:link w:val="ab"/>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3">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4">
    <w:name w:val="清單段落"/>
    <w:basedOn w:val="a"/>
    <w:qFormat/>
    <w:pPr>
      <w:widowControl w:val="0"/>
      <w:ind w:left="720"/>
      <w:jc w:val="both"/>
    </w:pPr>
    <w:rPr>
      <w:rFonts w:ascii="Times New Roman" w:hAnsi="Times New Roman" w:cs="Times New Roman"/>
      <w:kern w:val="2"/>
      <w:sz w:val="21"/>
      <w:szCs w:val="20"/>
    </w:rPr>
  </w:style>
  <w:style w:type="character" w:customStyle="1" w:styleId="a7">
    <w:name w:val="批注框文本 字符"/>
    <w:basedOn w:val="a0"/>
    <w:link w:val="a6"/>
    <w:uiPriority w:val="99"/>
    <w:semiHidden/>
    <w:rPr>
      <w:kern w:val="2"/>
      <w:sz w:val="18"/>
      <w:szCs w:val="18"/>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5">
    <w:name w:val="Unresolved Mention"/>
    <w:basedOn w:val="a0"/>
    <w:uiPriority w:val="99"/>
    <w:semiHidden/>
    <w:unhideWhenUsed/>
    <w:rsid w:val="008F0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EC3CD0-C39B-4844-9A1C-2B5CB95DF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327</Words>
  <Characters>1864</Characters>
  <Application>Microsoft Office Word</Application>
  <DocSecurity>0</DocSecurity>
  <Lines>15</Lines>
  <Paragraphs>4</Paragraphs>
  <ScaleCrop>false</ScaleCrop>
  <Company>WWW.YlmF.CoM</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44</cp:revision>
  <cp:lastPrinted>2012-10-11T08:46:00Z</cp:lastPrinted>
  <dcterms:created xsi:type="dcterms:W3CDTF">2015-11-23T07:28:00Z</dcterms:created>
  <dcterms:modified xsi:type="dcterms:W3CDTF">2021-02-23T03:46:00Z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a50174f539794d8898fccda9cdc5e20a">
    <vt:lpwstr>CWMFLuOimYpAVAOPYFBC6+Qp9G2XqCR4JGZJac3DWeH1WUHjw0Q6CrPxcqRLxkccGBNSSX6SQqhtR5K8RO+wbS/3w==</vt:lpwstr>
  </property>
</Properties>
</file>