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417F5A" w14:textId="7B79CEF9" w:rsidR="00D4087C" w:rsidRPr="00D4087C" w:rsidRDefault="00D4087C" w:rsidP="00D4087C">
      <w:pPr>
        <w:pStyle w:val="-"/>
      </w:pPr>
      <w:r w:rsidRPr="00D4087C">
        <w:rPr>
          <w:rFonts w:hint="eastAsia"/>
        </w:rPr>
        <w:t>平安银行拆红包</w:t>
      </w:r>
    </w:p>
    <w:p w14:paraId="78BF9375" w14:textId="77777777" w:rsidR="00D4087C" w:rsidRDefault="00D4087C" w:rsidP="00D4087C">
      <w:pPr>
        <w:textAlignment w:val="baseline"/>
        <w:rPr>
          <w:rFonts w:ascii="微软雅黑" w:eastAsia="微软雅黑" w:hAnsi="微软雅黑"/>
          <w:b/>
        </w:rPr>
      </w:pPr>
      <w:r>
        <w:rPr>
          <w:rFonts w:ascii="微软雅黑" w:eastAsia="微软雅黑" w:hAnsi="微软雅黑" w:hint="eastAsia"/>
          <w:b/>
        </w:rPr>
        <w:t>广 告 主：</w:t>
      </w:r>
      <w:r>
        <w:rPr>
          <w:rFonts w:ascii="微软雅黑" w:eastAsia="微软雅黑" w:hAnsi="微软雅黑" w:hint="eastAsia"/>
        </w:rPr>
        <w:t>平安银行</w:t>
      </w:r>
    </w:p>
    <w:p w14:paraId="6888E1C4" w14:textId="77777777" w:rsidR="00D4087C" w:rsidRDefault="00D4087C" w:rsidP="00D4087C">
      <w:pPr>
        <w:textAlignment w:val="baseline"/>
        <w:rPr>
          <w:rFonts w:ascii="微软雅黑" w:eastAsia="微软雅黑" w:hAnsi="微软雅黑"/>
          <w:b/>
        </w:rPr>
      </w:pPr>
      <w:r>
        <w:rPr>
          <w:rFonts w:ascii="微软雅黑" w:eastAsia="微软雅黑" w:hAnsi="微软雅黑" w:hint="eastAsia"/>
          <w:b/>
        </w:rPr>
        <w:t>所属行业：</w:t>
      </w:r>
      <w:r>
        <w:rPr>
          <w:rFonts w:ascii="微软雅黑" w:eastAsia="微软雅黑" w:hAnsi="微软雅黑" w:hint="eastAsia"/>
        </w:rPr>
        <w:t>金融业</w:t>
      </w:r>
    </w:p>
    <w:p w14:paraId="664A1C8E" w14:textId="3144A3F5" w:rsidR="00D4087C" w:rsidRDefault="00D4087C" w:rsidP="00D4087C">
      <w:pPr>
        <w:textAlignment w:val="baseline"/>
        <w:rPr>
          <w:rFonts w:ascii="微软雅黑" w:eastAsia="微软雅黑" w:hAnsi="微软雅黑"/>
          <w:b/>
        </w:rPr>
      </w:pPr>
      <w:r>
        <w:rPr>
          <w:rFonts w:ascii="微软雅黑" w:eastAsia="微软雅黑" w:hAnsi="微软雅黑" w:hint="eastAsia"/>
          <w:b/>
        </w:rPr>
        <w:t>执行时间：</w:t>
      </w:r>
      <w:r>
        <w:rPr>
          <w:rFonts w:ascii="微软雅黑" w:eastAsia="微软雅黑" w:hAnsi="微软雅黑" w:hint="eastAsia"/>
        </w:rPr>
        <w:t>2020</w:t>
      </w:r>
      <w:r>
        <w:rPr>
          <w:rFonts w:ascii="微软雅黑" w:eastAsia="微软雅黑" w:hAnsi="微软雅黑" w:hint="eastAsia"/>
        </w:rPr>
        <w:t>.</w:t>
      </w:r>
      <w:r>
        <w:rPr>
          <w:rFonts w:ascii="微软雅黑" w:eastAsia="微软雅黑" w:hAnsi="微软雅黑" w:hint="eastAsia"/>
        </w:rPr>
        <w:t>1</w:t>
      </w:r>
      <w:r>
        <w:rPr>
          <w:rFonts w:ascii="微软雅黑" w:eastAsia="微软雅黑" w:hAnsi="微软雅黑"/>
        </w:rPr>
        <w:t>1</w:t>
      </w:r>
      <w:r>
        <w:rPr>
          <w:rFonts w:ascii="微软雅黑" w:eastAsia="微软雅黑" w:hAnsi="微软雅黑" w:hint="eastAsia"/>
        </w:rPr>
        <w:t>-2021</w:t>
      </w:r>
      <w:r>
        <w:rPr>
          <w:rFonts w:ascii="微软雅黑" w:eastAsia="微软雅黑" w:hAnsi="微软雅黑" w:hint="eastAsia"/>
        </w:rPr>
        <w:t>.</w:t>
      </w:r>
      <w:r>
        <w:rPr>
          <w:rFonts w:ascii="微软雅黑" w:eastAsia="微软雅黑" w:hAnsi="微软雅黑" w:hint="eastAsia"/>
        </w:rPr>
        <w:t>12</w:t>
      </w:r>
    </w:p>
    <w:p w14:paraId="44365332" w14:textId="2FC51930" w:rsidR="00D4087C" w:rsidRDefault="00D4087C" w:rsidP="00D4087C">
      <w:pPr>
        <w:spacing w:after="240"/>
        <w:textAlignment w:val="baseline"/>
        <w:rPr>
          <w:rFonts w:ascii="微软雅黑" w:eastAsia="微软雅黑" w:hAnsi="微软雅黑"/>
        </w:rPr>
      </w:pPr>
      <w:r>
        <w:rPr>
          <w:rFonts w:ascii="微软雅黑" w:eastAsia="微软雅黑" w:hAnsi="微软雅黑" w:hint="eastAsia"/>
          <w:b/>
        </w:rPr>
        <w:t>参选类别：</w:t>
      </w:r>
      <w:r w:rsidRPr="00D4087C">
        <w:rPr>
          <w:rFonts w:ascii="微软雅黑" w:eastAsia="微软雅黑" w:hAnsi="微软雅黑" w:hint="eastAsia"/>
          <w:color w:val="000000"/>
          <w:szCs w:val="21"/>
        </w:rPr>
        <w:t>效果营销类</w:t>
      </w:r>
    </w:p>
    <w:p w14:paraId="26CF0046" w14:textId="77777777" w:rsidR="00D4087C" w:rsidRDefault="00D4087C" w:rsidP="00D4087C">
      <w:pPr>
        <w:pStyle w:val="-1"/>
      </w:pPr>
      <w:r>
        <w:rPr>
          <w:rFonts w:hint="eastAsia"/>
        </w:rPr>
        <w:t>营销背景</w:t>
      </w:r>
    </w:p>
    <w:p w14:paraId="6E4A3A58" w14:textId="77777777" w:rsidR="00D4087C" w:rsidRDefault="00D4087C" w:rsidP="00D4087C">
      <w:pPr>
        <w:pStyle w:val="-0"/>
        <w:rPr>
          <w:lang w:eastAsia="zh-Hans"/>
        </w:rPr>
      </w:pPr>
      <w:r>
        <w:rPr>
          <w:rFonts w:hint="eastAsia"/>
        </w:rPr>
        <w:t>流量经营是银行针对客群进行数字化经营的起点。鉴于银行流量渠道分散、数字化程度低、缺乏运营方法的现状，</w:t>
      </w:r>
      <w:r>
        <w:rPr>
          <w:rFonts w:hint="eastAsia"/>
          <w:lang w:eastAsia="zh-Hans"/>
        </w:rPr>
        <w:t>平安银行希望</w:t>
      </w:r>
      <w:r>
        <w:rPr>
          <w:rFonts w:hint="eastAsia"/>
        </w:rPr>
        <w:t>围绕获客这一核心目标，建立“潜客－新客－活跃新客”的三阶段运营策略</w:t>
      </w:r>
      <w:r>
        <w:rPr>
          <w:rFonts w:hint="eastAsia"/>
          <w:lang w:eastAsia="zh-Hans"/>
        </w:rPr>
        <w:t>。</w:t>
      </w:r>
    </w:p>
    <w:p w14:paraId="30AD35A9" w14:textId="77777777" w:rsidR="00D4087C" w:rsidRDefault="00D4087C" w:rsidP="00D4087C">
      <w:pPr>
        <w:pStyle w:val="-0"/>
      </w:pPr>
      <w:r>
        <w:rPr>
          <w:rFonts w:hint="eastAsia"/>
          <w:lang w:eastAsia="zh-Hans"/>
        </w:rPr>
        <w:t>互联网金融头部企业在互动玩法上有许多可学习借鉴的先例，</w:t>
      </w:r>
      <w:r>
        <w:rPr>
          <w:rFonts w:hint="eastAsia"/>
        </w:rPr>
        <w:t>如支付宝通过打造“蚂蚁森林”，为用户提供“攒能量”做公益的互动玩法，同时在互动过程中介绍金融知识，帮助用户了解线上办理缴费、购买理财的优势，完成了产品、服务的“种草”。</w:t>
      </w:r>
    </w:p>
    <w:p w14:paraId="429CE9AE" w14:textId="3152C61F" w:rsidR="00D4087C" w:rsidRDefault="00D4087C" w:rsidP="00D4087C">
      <w:pPr>
        <w:pStyle w:val="-0"/>
        <w:rPr>
          <w:rFonts w:hint="eastAsia"/>
          <w:lang w:eastAsia="zh-Hans"/>
        </w:rPr>
      </w:pPr>
      <w:r>
        <w:rPr>
          <w:rFonts w:hint="eastAsia"/>
          <w:lang w:eastAsia="zh-Hans"/>
        </w:rPr>
        <w:t>通过这些优秀案例的成功，传统银行意识到搭建起金融场景加非金融场景的金融生态成为传统银行数字转型的当务之急。</w:t>
      </w:r>
    </w:p>
    <w:p w14:paraId="18BD94C0" w14:textId="77777777" w:rsidR="00D4087C" w:rsidRPr="00D4087C" w:rsidRDefault="00D4087C" w:rsidP="00D4087C">
      <w:pPr>
        <w:pStyle w:val="-1"/>
      </w:pPr>
      <w:r w:rsidRPr="00D4087C">
        <w:rPr>
          <w:rFonts w:hint="eastAsia"/>
        </w:rPr>
        <w:t>营销目标</w:t>
      </w:r>
    </w:p>
    <w:p w14:paraId="7219B624" w14:textId="4F875E1D" w:rsidR="00D4087C" w:rsidRDefault="00D4087C" w:rsidP="00D4087C">
      <w:pPr>
        <w:pStyle w:val="-0"/>
        <w:rPr>
          <w:rFonts w:hint="eastAsia"/>
        </w:rPr>
      </w:pPr>
      <w:r>
        <w:rPr>
          <w:rFonts w:hint="eastAsia"/>
        </w:rPr>
        <w:t>平安银行希望通过游戏化的方式，实现趣味式、沉浸式的用户活跃场景，从而自然的完成</w:t>
      </w:r>
      <w:r>
        <w:rPr>
          <w:rFonts w:hint="eastAsia"/>
        </w:rPr>
        <w:t>app</w:t>
      </w:r>
      <w:r>
        <w:rPr>
          <w:rFonts w:hint="eastAsia"/>
        </w:rPr>
        <w:t>内的用户拉新以及促活。</w:t>
      </w:r>
    </w:p>
    <w:p w14:paraId="5F6D8527" w14:textId="77777777" w:rsidR="00D4087C" w:rsidRDefault="00D4087C" w:rsidP="00D4087C">
      <w:pPr>
        <w:pStyle w:val="-1"/>
      </w:pPr>
      <w:r>
        <w:rPr>
          <w:rFonts w:hint="eastAsia"/>
        </w:rPr>
        <w:t>策略与创意</w:t>
      </w:r>
    </w:p>
    <w:p w14:paraId="079A0F99" w14:textId="77777777" w:rsidR="00D4087C" w:rsidRDefault="00D4087C" w:rsidP="00D4087C">
      <w:pPr>
        <w:pStyle w:val="-0"/>
      </w:pPr>
      <w:r>
        <w:rPr>
          <w:rFonts w:hint="eastAsia"/>
        </w:rPr>
        <w:t>经典拆红包玩法，用户理解成本低，邀请好友助力增加金额，达到目标领取话费；</w:t>
      </w:r>
    </w:p>
    <w:p w14:paraId="3C551FAC" w14:textId="77777777" w:rsidR="00D4087C" w:rsidRDefault="00D4087C" w:rsidP="00D4087C">
      <w:pPr>
        <w:pStyle w:val="-0"/>
      </w:pPr>
      <w:r>
        <w:rPr>
          <w:rFonts w:hint="eastAsia"/>
        </w:rPr>
        <w:t>进入活动后让用户感知到邀请固定人数必得话费感知，增加用户的信任感；</w:t>
      </w:r>
    </w:p>
    <w:p w14:paraId="28ACE114" w14:textId="77777777" w:rsidR="00D4087C" w:rsidRDefault="00D4087C" w:rsidP="00D4087C">
      <w:pPr>
        <w:pStyle w:val="-0"/>
      </w:pPr>
      <w:r>
        <w:rPr>
          <w:rFonts w:hint="eastAsia"/>
        </w:rPr>
        <w:t>参与前期让用户拆出大额金额，并通过点击和分享的简单操作，给予用户奖励，使用户持续积累沉没成本并感知迫近目标，愿意持续参与；</w:t>
      </w:r>
    </w:p>
    <w:p w14:paraId="3713E753" w14:textId="173269FC" w:rsidR="00D4087C" w:rsidRDefault="00D4087C" w:rsidP="00D4087C">
      <w:pPr>
        <w:pStyle w:val="-0"/>
        <w:rPr>
          <w:rFonts w:hint="eastAsia"/>
        </w:rPr>
      </w:pPr>
      <w:r>
        <w:rPr>
          <w:rFonts w:hint="eastAsia"/>
        </w:rPr>
        <w:t>搭配首邀奖励、疯狂时刻（期间内邀请金额翻倍）限时</w:t>
      </w:r>
      <w:r>
        <w:rPr>
          <w:rFonts w:hint="eastAsia"/>
        </w:rPr>
        <w:t>PK</w:t>
      </w:r>
      <w:r>
        <w:rPr>
          <w:rFonts w:hint="eastAsia"/>
        </w:rPr>
        <w:t>等玩法。利用用户厌恶损失的心理。给予用户大额分享激励。持续裂变。</w:t>
      </w:r>
    </w:p>
    <w:p w14:paraId="119E1E24" w14:textId="77777777" w:rsidR="00D4087C" w:rsidRDefault="00D4087C" w:rsidP="00D4087C">
      <w:pPr>
        <w:pStyle w:val="-1"/>
      </w:pPr>
      <w:r>
        <w:rPr>
          <w:rFonts w:hint="eastAsia"/>
        </w:rPr>
        <w:t>执行过程/媒体表现</w:t>
      </w:r>
    </w:p>
    <w:p w14:paraId="79F70D63" w14:textId="77777777" w:rsidR="00D4087C" w:rsidRDefault="00D4087C" w:rsidP="00D4087C">
      <w:pPr>
        <w:pStyle w:val="-0"/>
      </w:pPr>
      <w:r>
        <w:rPr>
          <w:rFonts w:hint="eastAsia"/>
        </w:rPr>
        <w:t>用户研究阶段</w:t>
      </w:r>
    </w:p>
    <w:p w14:paraId="15C985A7" w14:textId="77777777" w:rsidR="00D4087C" w:rsidRDefault="00D4087C" w:rsidP="00D4087C">
      <w:pPr>
        <w:pStyle w:val="-0"/>
      </w:pPr>
      <w:r>
        <w:lastRenderedPageBreak/>
        <w:t>&gt;</w:t>
      </w:r>
      <w:r>
        <w:rPr>
          <w:rFonts w:hint="eastAsia"/>
        </w:rPr>
        <w:t>采用多种研究方法结合，明确用户画像和喜好</w:t>
      </w:r>
    </w:p>
    <w:p w14:paraId="6F1926B7" w14:textId="77777777" w:rsidR="00D4087C" w:rsidRDefault="00D4087C" w:rsidP="00D4087C">
      <w:pPr>
        <w:pStyle w:val="-0"/>
      </w:pPr>
      <w:r>
        <w:rPr>
          <w:noProof/>
        </w:rPr>
        <w:drawing>
          <wp:inline distT="0" distB="0" distL="0" distR="0" wp14:anchorId="3C232031" wp14:editId="2A96DB4F">
            <wp:extent cx="5720715" cy="307594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5"/>
                    <a:stretch>
                      <a:fillRect/>
                    </a:stretch>
                  </pic:blipFill>
                  <pic:spPr>
                    <a:xfrm>
                      <a:off x="0" y="0"/>
                      <a:ext cx="5720715" cy="3075940"/>
                    </a:xfrm>
                    <a:prstGeom prst="rect">
                      <a:avLst/>
                    </a:prstGeom>
                  </pic:spPr>
                </pic:pic>
              </a:graphicData>
            </a:graphic>
          </wp:inline>
        </w:drawing>
      </w:r>
    </w:p>
    <w:p w14:paraId="32EF2C86" w14:textId="77777777" w:rsidR="00D4087C" w:rsidRDefault="00D4087C" w:rsidP="00D4087C">
      <w:pPr>
        <w:pStyle w:val="-0"/>
      </w:pPr>
      <w:r>
        <w:rPr>
          <w:rFonts w:hint="eastAsia"/>
        </w:rPr>
        <w:t>设计解决方案</w:t>
      </w:r>
    </w:p>
    <w:p w14:paraId="3B9765AF" w14:textId="0418AE29" w:rsidR="00D4087C" w:rsidRDefault="00D4087C" w:rsidP="00D4087C">
      <w:pPr>
        <w:pStyle w:val="-0"/>
        <w:rPr>
          <w:rFonts w:hint="eastAsia"/>
        </w:rPr>
      </w:pPr>
      <w:r>
        <w:t>&gt;</w:t>
      </w:r>
      <w:r>
        <w:rPr>
          <w:rFonts w:hint="eastAsia"/>
        </w:rPr>
        <w:t>创新运营模式分析</w:t>
      </w:r>
    </w:p>
    <w:p w14:paraId="2D79403C" w14:textId="41DE048E" w:rsidR="00D4087C" w:rsidRDefault="00D4087C" w:rsidP="00D4087C">
      <w:pPr>
        <w:pStyle w:val="-0"/>
        <w:rPr>
          <w:rFonts w:hint="eastAsia"/>
          <w:lang w:eastAsia="zh-Hans"/>
        </w:rPr>
      </w:pPr>
      <w:r>
        <w:rPr>
          <w:rFonts w:hint="eastAsia"/>
          <w:lang w:eastAsia="zh-Hans"/>
        </w:rPr>
        <w:t>通过分析招商银行、拼多多、支付宝、淘宝、饿了么、百度等头部企业的创新运营模式，平安银行以短平快的拆红包玩法入手，覆盖各年龄圈层用户。</w:t>
      </w:r>
    </w:p>
    <w:p w14:paraId="44C2D49B" w14:textId="7D61951F" w:rsidR="00D4087C" w:rsidRDefault="00D4087C" w:rsidP="00D4087C">
      <w:pPr>
        <w:pStyle w:val="-0"/>
        <w:rPr>
          <w:rFonts w:hint="eastAsia"/>
        </w:rPr>
      </w:pPr>
      <w:r>
        <w:rPr>
          <w:noProof/>
        </w:rPr>
        <w:drawing>
          <wp:inline distT="0" distB="0" distL="0" distR="0" wp14:anchorId="78682190" wp14:editId="4DDC9689">
            <wp:extent cx="5720715" cy="2811145"/>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6"/>
                    <a:stretch>
                      <a:fillRect/>
                    </a:stretch>
                  </pic:blipFill>
                  <pic:spPr>
                    <a:xfrm>
                      <a:off x="0" y="0"/>
                      <a:ext cx="5720715" cy="2811145"/>
                    </a:xfrm>
                    <a:prstGeom prst="rect">
                      <a:avLst/>
                    </a:prstGeom>
                  </pic:spPr>
                </pic:pic>
              </a:graphicData>
            </a:graphic>
          </wp:inline>
        </w:drawing>
      </w:r>
    </w:p>
    <w:p w14:paraId="0163068B" w14:textId="77777777" w:rsidR="00D4087C" w:rsidRDefault="00D4087C" w:rsidP="00D4087C">
      <w:pPr>
        <w:pStyle w:val="-0"/>
      </w:pPr>
      <w:r>
        <w:t>&gt;</w:t>
      </w:r>
      <w:r>
        <w:rPr>
          <w:rFonts w:hint="eastAsia"/>
        </w:rPr>
        <w:t>解决方案设计</w:t>
      </w:r>
    </w:p>
    <w:p w14:paraId="4EFEB9DE" w14:textId="77777777" w:rsidR="00D4087C" w:rsidRDefault="00D4087C" w:rsidP="00D4087C">
      <w:pPr>
        <w:pStyle w:val="-0"/>
      </w:pPr>
      <w:r>
        <w:rPr>
          <w:rFonts w:hint="eastAsia"/>
        </w:rPr>
        <w:t>市面大火的拆红包玩法。不断给予用户邀请好友必得红包的概念。牢牢抓住用户捡便宜和不想失去的心里。</w:t>
      </w:r>
    </w:p>
    <w:p w14:paraId="6DDF1684" w14:textId="65943DDC" w:rsidR="00D4087C" w:rsidRDefault="00D4087C" w:rsidP="00D4087C">
      <w:pPr>
        <w:pStyle w:val="-0"/>
      </w:pPr>
      <w:r>
        <w:rPr>
          <w:rFonts w:hint="eastAsia"/>
        </w:rPr>
        <w:lastRenderedPageBreak/>
        <w:t>用户可通过普通邀请—每日签到—限时</w:t>
      </w:r>
      <w:r>
        <w:rPr>
          <w:rFonts w:hint="eastAsia"/>
        </w:rPr>
        <w:t>PK</w:t>
      </w:r>
      <w:r>
        <w:rPr>
          <w:rFonts w:hint="eastAsia"/>
        </w:rPr>
        <w:t>—懒人攻略—疯狂时刻等多种方式达到领奖条件，持续带给用户新鲜感，通过多种策略击中各类用户的独特心智，从而使用户产生分享欲望，达到裂变目的。</w:t>
      </w:r>
      <w:r>
        <w:rPr>
          <w:rFonts w:hint="eastAsia"/>
        </w:rPr>
        <w:t xml:space="preserve"> </w:t>
      </w:r>
    </w:p>
    <w:p w14:paraId="3C84EBB2" w14:textId="17EC95A4" w:rsidR="00D4087C" w:rsidRDefault="00D4087C" w:rsidP="00971166">
      <w:pPr>
        <w:pStyle w:val="-0"/>
        <w:jc w:val="center"/>
        <w:rPr>
          <w:rFonts w:hint="eastAsia"/>
        </w:rPr>
      </w:pPr>
      <w:r w:rsidRPr="00D4087C">
        <w:drawing>
          <wp:inline distT="0" distB="0" distL="0" distR="0" wp14:anchorId="6A356E7F" wp14:editId="1EDCE7A3">
            <wp:extent cx="3733800" cy="29464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733800" cy="2946400"/>
                    </a:xfrm>
                    <a:prstGeom prst="rect">
                      <a:avLst/>
                    </a:prstGeom>
                  </pic:spPr>
                </pic:pic>
              </a:graphicData>
            </a:graphic>
          </wp:inline>
        </w:drawing>
      </w:r>
    </w:p>
    <w:p w14:paraId="226FAE8E" w14:textId="77777777" w:rsidR="00D4087C" w:rsidRDefault="00D4087C" w:rsidP="00D4087C">
      <w:pPr>
        <w:pStyle w:val="-0"/>
      </w:pPr>
      <w:r>
        <w:t>&gt;</w:t>
      </w:r>
      <w:r>
        <w:rPr>
          <w:rFonts w:hint="eastAsia"/>
        </w:rPr>
        <w:t>落地效果保障</w:t>
      </w:r>
    </w:p>
    <w:p w14:paraId="318846F1" w14:textId="77777777" w:rsidR="00D4087C" w:rsidRDefault="00D4087C" w:rsidP="00D4087C">
      <w:pPr>
        <w:pStyle w:val="-0"/>
      </w:pPr>
      <w:r>
        <w:rPr>
          <w:rFonts w:hint="eastAsia"/>
        </w:rPr>
        <w:t>项目人员组件成直线项目组形式，包含产品、运营、设计、技术开发，实行每日日会、周会制度，做到快速响应</w:t>
      </w:r>
    </w:p>
    <w:p w14:paraId="27662C1F" w14:textId="3D7DCDA9" w:rsidR="00D4087C" w:rsidRDefault="00D4087C" w:rsidP="00D4087C">
      <w:pPr>
        <w:pStyle w:val="-0"/>
        <w:rPr>
          <w:rFonts w:hint="eastAsia"/>
        </w:rPr>
      </w:pPr>
      <w:r>
        <w:rPr>
          <w:rFonts w:hint="eastAsia"/>
        </w:rPr>
        <w:t>项目上线后，通过竞品分析、用户调研以及数据分析／</w:t>
      </w:r>
      <w:r>
        <w:rPr>
          <w:rFonts w:hint="eastAsia"/>
        </w:rPr>
        <w:t>AB</w:t>
      </w:r>
      <w:r>
        <w:rPr>
          <w:rFonts w:hint="eastAsia"/>
        </w:rPr>
        <w:t>测试，不断指导方案迭代</w:t>
      </w:r>
    </w:p>
    <w:p w14:paraId="15B77483" w14:textId="77777777" w:rsidR="00D4087C" w:rsidRDefault="00D4087C" w:rsidP="00D4087C">
      <w:pPr>
        <w:pStyle w:val="-1"/>
      </w:pPr>
      <w:r>
        <w:rPr>
          <w:rFonts w:hint="eastAsia"/>
        </w:rPr>
        <w:t>营销效果与市场反馈</w:t>
      </w:r>
    </w:p>
    <w:p w14:paraId="39FD7180" w14:textId="77777777" w:rsidR="00D4087C" w:rsidRDefault="00D4087C" w:rsidP="00D4087C">
      <w:pPr>
        <w:pStyle w:val="-0"/>
      </w:pPr>
      <w:r>
        <w:rPr>
          <w:rFonts w:hint="eastAsia"/>
        </w:rPr>
        <w:t>数据表现：</w:t>
      </w:r>
      <w:r>
        <w:rPr>
          <w:rFonts w:hint="eastAsia"/>
        </w:rPr>
        <w:t xml:space="preserve"> </w:t>
      </w:r>
      <w:r>
        <w:rPr>
          <w:rFonts w:hint="eastAsia"/>
        </w:rPr>
        <w:t>单月活跃用户</w:t>
      </w:r>
      <w:r>
        <w:rPr>
          <w:rFonts w:hint="eastAsia"/>
        </w:rPr>
        <w:t>1</w:t>
      </w:r>
      <w:r>
        <w:t>.8</w:t>
      </w:r>
      <w:r>
        <w:rPr>
          <w:rFonts w:hint="eastAsia"/>
        </w:rPr>
        <w:t>w</w:t>
      </w:r>
      <w:r>
        <w:rPr>
          <w:rFonts w:hint="eastAsia"/>
        </w:rPr>
        <w:t>，参与率</w:t>
      </w:r>
      <w:r>
        <w:rPr>
          <w:rFonts w:hint="eastAsia"/>
        </w:rPr>
        <w:t>8</w:t>
      </w:r>
      <w:r>
        <w:t>6.7%</w:t>
      </w:r>
      <w:r>
        <w:rPr>
          <w:rFonts w:hint="eastAsia"/>
        </w:rPr>
        <w:t>，活动期间累计拉新用户数</w:t>
      </w:r>
      <w:r>
        <w:t>69458</w:t>
      </w:r>
      <w:r>
        <w:rPr>
          <w:rFonts w:hint="eastAsia"/>
        </w:rPr>
        <w:t>，得到广泛的用户认可。</w:t>
      </w:r>
    </w:p>
    <w:p w14:paraId="1AE18A7D" w14:textId="77777777" w:rsidR="00BD10C8" w:rsidRPr="00D4087C" w:rsidRDefault="00971166"/>
    <w:sectPr w:rsidR="00BD10C8" w:rsidRPr="00D4087C">
      <w:headerReference w:type="even" r:id="rId8"/>
      <w:headerReference w:type="default" r:id="rId9"/>
      <w:footerReference w:type="even" r:id="rId10"/>
      <w:footerReference w:type="default" r:id="rId11"/>
      <w:headerReference w:type="first" r:id="rId12"/>
      <w:footerReference w:type="first" r:id="rId13"/>
      <w:pgSz w:w="11906" w:h="16838"/>
      <w:pgMar w:top="720" w:right="1196" w:bottom="624" w:left="1701" w:header="468" w:footer="907" w:gutter="0"/>
      <w:pgNumType w:start="1"/>
      <w:cols w:space="720"/>
      <w:docGrid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7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CF3C52" w:usb2="00000016" w:usb3="00000000" w:csb0="0004001F" w:csb1="00000000"/>
  </w:font>
  <w:font w:name="Calibri">
    <w:panose1 w:val="020F0502020204030204"/>
    <w:charset w:val="00"/>
    <w:family w:val="swiss"/>
    <w:pitch w:val="variable"/>
    <w:sig w:usb0="E0002A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241195" w14:textId="77777777" w:rsidR="00552DA6" w:rsidRDefault="00971166">
    <w:pPr>
      <w:pStyle w:val="a4"/>
      <w:framePr w:wrap="around" w:vAnchor="text" w:hAnchor="margin" w:xAlign="right" w:y="1"/>
      <w:rPr>
        <w:rStyle w:val="a8"/>
      </w:rPr>
    </w:pPr>
    <w:r>
      <w:fldChar w:fldCharType="begin"/>
    </w:r>
    <w:r>
      <w:rPr>
        <w:rStyle w:val="a8"/>
      </w:rPr>
      <w:instrText xml:space="preserve">PAGE  </w:instrText>
    </w:r>
    <w:r>
      <w:fldChar w:fldCharType="separate"/>
    </w:r>
    <w:r>
      <w:rPr>
        <w:rStyle w:val="a8"/>
      </w:rPr>
      <w:t>1</w:t>
    </w:r>
    <w:r>
      <w:fldChar w:fldCharType="end"/>
    </w:r>
  </w:p>
  <w:p w14:paraId="76C32A56" w14:textId="77777777" w:rsidR="00552DA6" w:rsidRDefault="00971166">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E59EA0" w14:textId="77777777" w:rsidR="00552DA6" w:rsidRDefault="00971166">
    <w:pPr>
      <w:pStyle w:val="a4"/>
      <w:framePr w:wrap="around" w:vAnchor="text" w:hAnchor="margin" w:xAlign="right" w:y="1"/>
      <w:rPr>
        <w:rStyle w:val="a8"/>
      </w:rPr>
    </w:pPr>
  </w:p>
  <w:p w14:paraId="05034EB9" w14:textId="77777777" w:rsidR="00552DA6" w:rsidRDefault="00971166">
    <w:pPr>
      <w:pStyle w:val="a4"/>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B7CB4E" w14:textId="77777777" w:rsidR="00552DA6" w:rsidRDefault="00971166">
    <w:pPr>
      <w:pStyle w:val="a4"/>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28CDAD" w14:textId="77777777" w:rsidR="00552DA6" w:rsidRDefault="00971166">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339B64" w14:textId="77777777" w:rsidR="00552DA6" w:rsidRDefault="00971166">
    <w:pPr>
      <w:pStyle w:val="a6"/>
      <w:jc w:val="both"/>
      <w:rPr>
        <w:sz w:val="21"/>
      </w:rPr>
    </w:pPr>
    <w:r>
      <w:rPr>
        <w:b/>
        <w:noProof/>
        <w:color w:val="333333"/>
        <w:sz w:val="21"/>
      </w:rPr>
      <w:drawing>
        <wp:inline distT="0" distB="0" distL="0" distR="0" wp14:anchorId="6D9BEC8E" wp14:editId="11CEF21C">
          <wp:extent cx="881380" cy="445770"/>
          <wp:effectExtent l="0" t="0" r="0" b="0"/>
          <wp:docPr id="27"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6"/>
                  <pic:cNvPicPr>
                    <a:picLocks noChangeAspect="1"/>
                  </pic:cNvPicPr>
                </pic:nvPicPr>
                <pic:blipFill>
                  <a:blip r:embed="rId1">
                    <a:extLst>
                      <a:ext uri="{28A0092B-C50C-407E-A947-70E740481C1C}">
                        <a14:useLocalDpi xmlns:a14="http://schemas.microsoft.com/office/drawing/2010/main" val="0"/>
                      </a:ext>
                    </a:extLst>
                  </a:blip>
                  <a:srcRect t="15039" b="19783"/>
                  <a:stretch>
                    <a:fillRect/>
                  </a:stretch>
                </pic:blipFill>
                <pic:spPr>
                  <a:xfrm>
                    <a:off x="0" y="0"/>
                    <a:ext cx="904338" cy="457416"/>
                  </a:xfrm>
                  <a:prstGeom prst="rect">
                    <a:avLst/>
                  </a:prstGeom>
                  <a:ln>
                    <a:noFill/>
                  </a:ln>
                </pic:spPr>
              </pic:pic>
            </a:graphicData>
          </a:graphic>
        </wp:inline>
      </w:drawing>
    </w:r>
    <w:r>
      <w:rPr>
        <w:rFonts w:hint="eastAsia"/>
        <w:b/>
        <w:color w:val="333333"/>
        <w:sz w:val="21"/>
      </w:rPr>
      <w:t xml:space="preserve">                                   </w:t>
    </w:r>
    <w:r>
      <w:rPr>
        <w:b/>
        <w:color w:val="333333"/>
        <w:sz w:val="21"/>
      </w:rPr>
      <w:t xml:space="preserve">          </w:t>
    </w:r>
    <w:r>
      <w:rPr>
        <w:rFonts w:ascii="微软雅黑" w:eastAsia="微软雅黑" w:hAnsi="微软雅黑" w:hint="eastAsia"/>
        <w:color w:val="333333"/>
        <w:sz w:val="21"/>
      </w:rPr>
      <w:t>第</w:t>
    </w:r>
    <w:r>
      <w:rPr>
        <w:rFonts w:ascii="微软雅黑" w:eastAsia="微软雅黑" w:hAnsi="微软雅黑"/>
        <w:color w:val="333333"/>
        <w:sz w:val="21"/>
      </w:rPr>
      <w:t>11</w:t>
    </w:r>
    <w:r>
      <w:rPr>
        <w:rFonts w:ascii="微软雅黑" w:eastAsia="微软雅黑" w:hAnsi="微软雅黑" w:hint="eastAsia"/>
        <w:color w:val="333333"/>
        <w:sz w:val="21"/>
      </w:rPr>
      <w:t>届金鼠标数字营销大赛</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A1FE86" w14:textId="77777777" w:rsidR="00552DA6" w:rsidRDefault="00971166">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E46607"/>
    <w:multiLevelType w:val="multilevel"/>
    <w:tmpl w:val="1DE4660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3C0A1EE4"/>
    <w:multiLevelType w:val="multilevel"/>
    <w:tmpl w:val="3C0A1EE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3E4B0323"/>
    <w:multiLevelType w:val="multilevel"/>
    <w:tmpl w:val="3E4B0323"/>
    <w:lvl w:ilvl="0">
      <w:start w:val="1"/>
      <w:numFmt w:val="decimal"/>
      <w:lvlText w:val="%1、"/>
      <w:lvlJc w:val="left"/>
      <w:pPr>
        <w:ind w:left="360" w:hanging="360"/>
      </w:pPr>
      <w:rPr>
        <w:rFonts w:hint="eastAsia"/>
      </w:rPr>
    </w:lvl>
    <w:lvl w:ilvl="1">
      <w:start w:val="1"/>
      <w:numFmt w:val="lowerLetter"/>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lowerLetter"/>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lowerLetter"/>
      <w:lvlText w:val="%8)"/>
      <w:lvlJc w:val="left"/>
      <w:pPr>
        <w:ind w:left="3840" w:hanging="480"/>
      </w:pPr>
    </w:lvl>
    <w:lvl w:ilvl="8">
      <w:start w:val="1"/>
      <w:numFmt w:val="lowerRoman"/>
      <w:lvlText w:val="%9."/>
      <w:lvlJc w:val="right"/>
      <w:pPr>
        <w:ind w:left="4320" w:hanging="480"/>
      </w:pPr>
    </w:lvl>
  </w:abstractNum>
  <w:abstractNum w:abstractNumId="3" w15:restartNumberingAfterBreak="0">
    <w:nsid w:val="6D97141A"/>
    <w:multiLevelType w:val="multilevel"/>
    <w:tmpl w:val="6D97141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70F0726E"/>
    <w:multiLevelType w:val="multilevel"/>
    <w:tmpl w:val="70F0726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3"/>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87C"/>
    <w:rsid w:val="00572303"/>
    <w:rsid w:val="00764AE6"/>
    <w:rsid w:val="00907465"/>
    <w:rsid w:val="00971166"/>
    <w:rsid w:val="00C5731C"/>
    <w:rsid w:val="00D408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302F6"/>
  <w15:chartTrackingRefBased/>
  <w15:docId w15:val="{07FA513F-127A-0544-8DD8-0A9C9CD6E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087C"/>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
    <w:name w:val="案例类-大标题"/>
    <w:basedOn w:val="a"/>
    <w:autoRedefine/>
    <w:qFormat/>
    <w:rsid w:val="00D4087C"/>
    <w:pPr>
      <w:spacing w:beforeLines="100" w:before="240" w:afterLines="100" w:after="240"/>
      <w:jc w:val="center"/>
      <w:outlineLvl w:val="0"/>
    </w:pPr>
    <w:rPr>
      <w:rFonts w:eastAsia="微软雅黑"/>
      <w:b/>
      <w:sz w:val="32"/>
    </w:rPr>
  </w:style>
  <w:style w:type="paragraph" w:styleId="a3">
    <w:name w:val="No Spacing"/>
    <w:uiPriority w:val="1"/>
    <w:qFormat/>
    <w:rsid w:val="00C5731C"/>
    <w:pPr>
      <w:widowControl w:val="0"/>
      <w:jc w:val="both"/>
    </w:pPr>
  </w:style>
  <w:style w:type="paragraph" w:customStyle="1" w:styleId="-0">
    <w:name w:val="案例类-正文"/>
    <w:basedOn w:val="a"/>
    <w:autoRedefine/>
    <w:qFormat/>
    <w:rsid w:val="00C5731C"/>
    <w:pPr>
      <w:spacing w:before="100" w:beforeAutospacing="1" w:after="100" w:afterAutospacing="1"/>
      <w:jc w:val="left"/>
    </w:pPr>
    <w:rPr>
      <w:rFonts w:eastAsia="微软雅黑"/>
    </w:rPr>
  </w:style>
  <w:style w:type="paragraph" w:customStyle="1" w:styleId="-1">
    <w:name w:val="案例类-蓝色标题"/>
    <w:basedOn w:val="a"/>
    <w:autoRedefine/>
    <w:qFormat/>
    <w:rsid w:val="00D4087C"/>
    <w:pPr>
      <w:spacing w:after="100" w:afterAutospacing="1"/>
      <w:textAlignment w:val="baseline"/>
    </w:pPr>
    <w:rPr>
      <w:rFonts w:ascii="微软雅黑" w:eastAsia="微软雅黑" w:hAnsi="微软雅黑"/>
      <w:b/>
      <w:color w:val="0000FF"/>
      <w:sz w:val="28"/>
    </w:rPr>
  </w:style>
  <w:style w:type="paragraph" w:styleId="a4">
    <w:name w:val="footer"/>
    <w:basedOn w:val="a"/>
    <w:link w:val="a5"/>
    <w:qFormat/>
    <w:rsid w:val="00D4087C"/>
    <w:pPr>
      <w:tabs>
        <w:tab w:val="center" w:pos="4153"/>
        <w:tab w:val="right" w:pos="8306"/>
      </w:tabs>
      <w:snapToGrid w:val="0"/>
      <w:jc w:val="left"/>
    </w:pPr>
    <w:rPr>
      <w:sz w:val="18"/>
    </w:rPr>
  </w:style>
  <w:style w:type="character" w:customStyle="1" w:styleId="a5">
    <w:name w:val="页脚 字符"/>
    <w:basedOn w:val="a0"/>
    <w:link w:val="a4"/>
    <w:rsid w:val="00D4087C"/>
    <w:rPr>
      <w:rFonts w:ascii="Times New Roman" w:eastAsia="宋体" w:hAnsi="Times New Roman" w:cs="Times New Roman"/>
      <w:sz w:val="18"/>
      <w:szCs w:val="20"/>
    </w:rPr>
  </w:style>
  <w:style w:type="paragraph" w:styleId="a6">
    <w:name w:val="header"/>
    <w:basedOn w:val="a"/>
    <w:link w:val="a7"/>
    <w:qFormat/>
    <w:rsid w:val="00D4087C"/>
    <w:pPr>
      <w:pBdr>
        <w:bottom w:val="single" w:sz="6" w:space="1" w:color="auto"/>
      </w:pBdr>
      <w:tabs>
        <w:tab w:val="center" w:pos="4153"/>
        <w:tab w:val="right" w:pos="8306"/>
      </w:tabs>
      <w:snapToGrid w:val="0"/>
      <w:jc w:val="center"/>
    </w:pPr>
    <w:rPr>
      <w:sz w:val="18"/>
    </w:rPr>
  </w:style>
  <w:style w:type="character" w:customStyle="1" w:styleId="a7">
    <w:name w:val="页眉 字符"/>
    <w:basedOn w:val="a0"/>
    <w:link w:val="a6"/>
    <w:rsid w:val="00D4087C"/>
    <w:rPr>
      <w:rFonts w:ascii="Times New Roman" w:eastAsia="宋体" w:hAnsi="Times New Roman" w:cs="Times New Roman"/>
      <w:sz w:val="18"/>
      <w:szCs w:val="20"/>
    </w:rPr>
  </w:style>
  <w:style w:type="character" w:styleId="a8">
    <w:name w:val="page number"/>
    <w:basedOn w:val="a0"/>
    <w:qFormat/>
    <w:rsid w:val="00D4087C"/>
  </w:style>
  <w:style w:type="paragraph" w:customStyle="1" w:styleId="1">
    <w:name w:val="列表段落1"/>
    <w:basedOn w:val="a"/>
    <w:uiPriority w:val="34"/>
    <w:qFormat/>
    <w:rsid w:val="00D4087C"/>
    <w:pPr>
      <w:ind w:firstLineChars="200" w:firstLine="420"/>
    </w:pPr>
    <w:rPr>
      <w:rFonts w:ascii="Calibri" w:hAnsi="Calibri"/>
    </w:rPr>
  </w:style>
  <w:style w:type="paragraph" w:customStyle="1" w:styleId="p0">
    <w:name w:val="p0"/>
    <w:basedOn w:val="a"/>
    <w:qFormat/>
    <w:rsid w:val="00D4087C"/>
    <w:pPr>
      <w:widowControl/>
    </w:pPr>
    <w:rPr>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oter" Target="footer2.xm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151</Words>
  <Characters>864</Characters>
  <Application>Microsoft Office Word</Application>
  <DocSecurity>0</DocSecurity>
  <Lines>7</Lines>
  <Paragraphs>2</Paragraphs>
  <ScaleCrop>false</ScaleCrop>
  <Company/>
  <LinksUpToDate>false</LinksUpToDate>
  <CharactersWithSpaces>1013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yeziapp</dc:creator>
  <cp:keywords/>
  <dc:description/>
  <cp:lastModifiedBy>yeziapp</cp:lastModifiedBy>
  <cp:revision>2</cp:revision>
  <dcterms:created xsi:type="dcterms:W3CDTF">2021-02-03T07:24:00Z</dcterms:created>
  <dcterms:modified xsi:type="dcterms:W3CDTF">2021-02-03T07:27:00Z</dcterms:modified>
</cp:coreProperties>
</file>