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AB830C1" w14:textId="6E499ADC" w:rsidR="00203E01" w:rsidRDefault="00B01430">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B01430">
        <w:rPr>
          <w:rFonts w:ascii="微软雅黑" w:eastAsia="微软雅黑" w:hAnsi="微软雅黑" w:hint="eastAsia"/>
          <w:b/>
          <w:sz w:val="32"/>
          <w:szCs w:val="32"/>
        </w:rPr>
        <w:t>平安银行叠橙子大作战</w:t>
      </w:r>
    </w:p>
    <w:p w14:paraId="2DF80C51" w14:textId="77777777" w:rsidR="00203E01" w:rsidRDefault="008D2EA3">
      <w:pPr>
        <w:textAlignment w:val="baseline"/>
        <w:rPr>
          <w:rFonts w:ascii="微软雅黑" w:eastAsia="微软雅黑" w:hAnsi="微软雅黑"/>
          <w:b/>
        </w:rPr>
      </w:pPr>
      <w:r>
        <w:rPr>
          <w:rFonts w:ascii="微软雅黑" w:eastAsia="微软雅黑" w:hAnsi="微软雅黑" w:hint="eastAsia"/>
          <w:b/>
        </w:rPr>
        <w:t>广</w:t>
      </w:r>
      <w:r>
        <w:rPr>
          <w:rFonts w:ascii="微软雅黑" w:eastAsia="微软雅黑" w:hAnsi="微软雅黑" w:hint="eastAsia"/>
          <w:b/>
        </w:rPr>
        <w:t xml:space="preserve"> </w:t>
      </w:r>
      <w:r>
        <w:rPr>
          <w:rFonts w:ascii="微软雅黑" w:eastAsia="微软雅黑" w:hAnsi="微软雅黑" w:hint="eastAsia"/>
          <w:b/>
        </w:rPr>
        <w:t>告</w:t>
      </w:r>
      <w:r>
        <w:rPr>
          <w:rFonts w:ascii="微软雅黑" w:eastAsia="微软雅黑" w:hAnsi="微软雅黑" w:hint="eastAsia"/>
          <w:b/>
        </w:rPr>
        <w:t xml:space="preserve"> </w:t>
      </w:r>
      <w:r>
        <w:rPr>
          <w:rFonts w:ascii="微软雅黑" w:eastAsia="微软雅黑" w:hAnsi="微软雅黑" w:hint="eastAsia"/>
          <w:b/>
        </w:rPr>
        <w:t>主：</w:t>
      </w:r>
      <w:r>
        <w:rPr>
          <w:rFonts w:ascii="微软雅黑" w:eastAsia="微软雅黑" w:hAnsi="微软雅黑" w:hint="eastAsia"/>
        </w:rPr>
        <w:t>平安银行</w:t>
      </w:r>
    </w:p>
    <w:p w14:paraId="1FFD5572" w14:textId="77777777" w:rsidR="00203E01" w:rsidRDefault="008D2EA3">
      <w:pPr>
        <w:textAlignment w:val="baseline"/>
        <w:rPr>
          <w:rFonts w:ascii="微软雅黑" w:eastAsia="微软雅黑" w:hAnsi="微软雅黑"/>
          <w:b/>
        </w:rPr>
      </w:pPr>
      <w:r>
        <w:rPr>
          <w:rFonts w:ascii="微软雅黑" w:eastAsia="微软雅黑" w:hAnsi="微软雅黑" w:hint="eastAsia"/>
          <w:b/>
        </w:rPr>
        <w:t>所属行业：</w:t>
      </w:r>
      <w:r>
        <w:rPr>
          <w:rFonts w:ascii="微软雅黑" w:eastAsia="微软雅黑" w:hAnsi="微软雅黑" w:hint="eastAsia"/>
        </w:rPr>
        <w:t>金融业</w:t>
      </w:r>
    </w:p>
    <w:p w14:paraId="54C3BDF8" w14:textId="3174AD4A" w:rsidR="00203E01" w:rsidRDefault="008D2EA3">
      <w:pPr>
        <w:textAlignment w:val="baseline"/>
        <w:rPr>
          <w:rFonts w:ascii="微软雅黑" w:eastAsia="微软雅黑" w:hAnsi="微软雅黑"/>
          <w:b/>
        </w:rPr>
      </w:pPr>
      <w:r>
        <w:rPr>
          <w:rFonts w:ascii="微软雅黑" w:eastAsia="微软雅黑" w:hAnsi="微软雅黑" w:hint="eastAsia"/>
          <w:b/>
        </w:rPr>
        <w:t>执行时间：</w:t>
      </w:r>
      <w:r>
        <w:rPr>
          <w:rFonts w:ascii="微软雅黑" w:eastAsia="微软雅黑" w:hAnsi="微软雅黑" w:hint="eastAsia"/>
        </w:rPr>
        <w:t>2020</w:t>
      </w:r>
      <w:r w:rsidR="00B01430">
        <w:rPr>
          <w:rFonts w:ascii="微软雅黑" w:eastAsia="微软雅黑" w:hAnsi="微软雅黑" w:hint="eastAsia"/>
        </w:rPr>
        <w:t>.</w:t>
      </w:r>
      <w:r w:rsidR="00B01430">
        <w:rPr>
          <w:rFonts w:ascii="微软雅黑" w:eastAsia="微软雅黑" w:hAnsi="微软雅黑"/>
        </w:rPr>
        <w:t>0</w:t>
      </w:r>
      <w:r>
        <w:rPr>
          <w:rFonts w:ascii="微软雅黑" w:eastAsia="微软雅黑" w:hAnsi="微软雅黑"/>
        </w:rPr>
        <w:t>7</w:t>
      </w:r>
      <w:r>
        <w:rPr>
          <w:rFonts w:ascii="微软雅黑" w:eastAsia="微软雅黑" w:hAnsi="微软雅黑" w:hint="eastAsia"/>
        </w:rPr>
        <w:t>-2021</w:t>
      </w:r>
      <w:r w:rsidR="00B01430">
        <w:rPr>
          <w:rFonts w:ascii="微软雅黑" w:eastAsia="微软雅黑" w:hAnsi="微软雅黑" w:hint="eastAsia"/>
        </w:rPr>
        <w:t>.</w:t>
      </w:r>
      <w:r>
        <w:rPr>
          <w:rFonts w:ascii="微软雅黑" w:eastAsia="微软雅黑" w:hAnsi="微软雅黑" w:hint="eastAsia"/>
        </w:rPr>
        <w:t>12</w:t>
      </w:r>
    </w:p>
    <w:p w14:paraId="6EB255A6" w14:textId="0AE3DA7D" w:rsidR="00203E01" w:rsidRPr="00B01430" w:rsidRDefault="008D2EA3" w:rsidP="00B01430">
      <w:pPr>
        <w:spacing w:after="240"/>
        <w:textAlignment w:val="baseline"/>
        <w:rPr>
          <w:rFonts w:ascii="微软雅黑" w:eastAsia="微软雅黑" w:hAnsi="微软雅黑" w:hint="eastAsia"/>
        </w:rPr>
      </w:pPr>
      <w:r>
        <w:rPr>
          <w:rFonts w:ascii="微软雅黑" w:eastAsia="微软雅黑" w:hAnsi="微软雅黑" w:hint="eastAsia"/>
          <w:b/>
        </w:rPr>
        <w:t>参选类别：</w:t>
      </w:r>
      <w:r w:rsidR="00B01430" w:rsidRPr="00B01430">
        <w:rPr>
          <w:rFonts w:ascii="微软雅黑" w:eastAsia="微软雅黑" w:hAnsi="微软雅黑" w:hint="eastAsia"/>
          <w:color w:val="000000"/>
          <w:szCs w:val="21"/>
        </w:rPr>
        <w:t>移动营销类</w:t>
      </w:r>
    </w:p>
    <w:p w14:paraId="4A8CA7F5" w14:textId="77777777" w:rsidR="00203E01" w:rsidRDefault="008D2EA3" w:rsidP="00B01430">
      <w:pPr>
        <w:spacing w:before="100" w:beforeAutospacing="1" w:after="100" w:afterAutospacing="1"/>
        <w:textAlignment w:val="baseline"/>
        <w:rPr>
          <w:rFonts w:ascii="微软雅黑" w:eastAsia="微软雅黑" w:hAnsi="微软雅黑"/>
          <w:b/>
          <w:color w:val="0000FF"/>
          <w:sz w:val="28"/>
          <w:szCs w:val="24"/>
        </w:rPr>
      </w:pPr>
      <w:r>
        <w:rPr>
          <w:rFonts w:ascii="微软雅黑" w:eastAsia="微软雅黑" w:hAnsi="微软雅黑" w:hint="eastAsia"/>
          <w:b/>
          <w:color w:val="0000FF"/>
          <w:sz w:val="28"/>
          <w:szCs w:val="24"/>
        </w:rPr>
        <w:t>营销背景</w:t>
      </w:r>
    </w:p>
    <w:p w14:paraId="11143627" w14:textId="77777777" w:rsidR="00203E01" w:rsidRDefault="008D2EA3" w:rsidP="00B01430">
      <w:pPr>
        <w:spacing w:before="100" w:beforeAutospacing="1" w:after="100" w:afterAutospacing="1"/>
        <w:textAlignment w:val="baseline"/>
        <w:rPr>
          <w:rFonts w:ascii="微软雅黑" w:eastAsia="微软雅黑" w:hAnsi="微软雅黑"/>
          <w:lang w:eastAsia="zh-Hans"/>
        </w:rPr>
      </w:pPr>
      <w:r>
        <w:rPr>
          <w:rFonts w:ascii="微软雅黑" w:eastAsia="微软雅黑" w:hAnsi="微软雅黑" w:hint="eastAsia"/>
        </w:rPr>
        <w:t>流量经营是银行针对客群进行数字化经营的起点。鉴于银行流量渠道分散、数字化程度低、缺乏运营方法的现状，</w:t>
      </w:r>
      <w:r>
        <w:rPr>
          <w:rFonts w:ascii="微软雅黑" w:eastAsia="微软雅黑" w:hAnsi="微软雅黑" w:hint="eastAsia"/>
          <w:lang w:eastAsia="zh-Hans"/>
        </w:rPr>
        <w:t>平安银行希望</w:t>
      </w:r>
      <w:r>
        <w:rPr>
          <w:rFonts w:ascii="微软雅黑" w:eastAsia="微软雅黑" w:hAnsi="微软雅黑" w:hint="eastAsia"/>
        </w:rPr>
        <w:t>围绕获客这一核心目标，建立“潜客－新客－活跃新客”的三阶段运营策略</w:t>
      </w:r>
      <w:r>
        <w:rPr>
          <w:rFonts w:ascii="微软雅黑" w:eastAsia="微软雅黑" w:hAnsi="微软雅黑" w:hint="eastAsia"/>
          <w:lang w:eastAsia="zh-Hans"/>
        </w:rPr>
        <w:t>。</w:t>
      </w:r>
    </w:p>
    <w:p w14:paraId="4F6E28F8" w14:textId="77777777" w:rsidR="00203E01" w:rsidRDefault="008D2EA3" w:rsidP="00B01430">
      <w:pPr>
        <w:spacing w:before="100" w:beforeAutospacing="1" w:after="100" w:afterAutospacing="1"/>
        <w:textAlignment w:val="baseline"/>
        <w:rPr>
          <w:rFonts w:ascii="微软雅黑" w:eastAsia="微软雅黑" w:hAnsi="微软雅黑"/>
        </w:rPr>
      </w:pPr>
      <w:r>
        <w:rPr>
          <w:rFonts w:ascii="微软雅黑" w:eastAsia="微软雅黑" w:hAnsi="微软雅黑" w:hint="eastAsia"/>
          <w:lang w:eastAsia="zh-Hans"/>
        </w:rPr>
        <w:t>互联网金融头部企业在互动玩法上有许多可学习借鉴的先例，</w:t>
      </w:r>
      <w:r>
        <w:rPr>
          <w:rFonts w:ascii="微软雅黑" w:eastAsia="微软雅黑" w:hAnsi="微软雅黑" w:hint="eastAsia"/>
        </w:rPr>
        <w:t>如支付宝通过打造“蚂蚁森林”，为用户提供“攒能量”做公益的互动玩法，同时在互动过程中介绍金融知识，帮助用户了解线上办理缴费、购买理财的优势，完成了产品、服务的“种草”。</w:t>
      </w:r>
    </w:p>
    <w:p w14:paraId="72B35768" w14:textId="1A036CF7" w:rsidR="00203E01" w:rsidRPr="00B01430" w:rsidRDefault="008D2EA3" w:rsidP="00B01430">
      <w:pPr>
        <w:spacing w:before="100" w:beforeAutospacing="1" w:after="100" w:afterAutospacing="1"/>
        <w:textAlignment w:val="baseline"/>
        <w:rPr>
          <w:rFonts w:ascii="微软雅黑" w:eastAsia="微软雅黑" w:hAnsi="微软雅黑" w:hint="eastAsia"/>
          <w:lang w:eastAsia="zh-Hans"/>
        </w:rPr>
      </w:pPr>
      <w:r>
        <w:rPr>
          <w:rFonts w:ascii="微软雅黑" w:eastAsia="微软雅黑" w:hAnsi="微软雅黑" w:hint="eastAsia"/>
          <w:lang w:eastAsia="zh-Hans"/>
        </w:rPr>
        <w:t>通过这些优秀案例的成功，传统银行意识到搭建起金融场景加非金融场景的金融生态成为传统银行数字转型的当务之急。</w:t>
      </w:r>
    </w:p>
    <w:p w14:paraId="652D21FF" w14:textId="77777777" w:rsidR="00203E01" w:rsidRDefault="008D2EA3" w:rsidP="00B01430">
      <w:pPr>
        <w:spacing w:before="100" w:beforeAutospacing="1" w:after="100" w:afterAutospacing="1"/>
        <w:textAlignment w:val="baseline"/>
        <w:rPr>
          <w:rFonts w:ascii="微软雅黑" w:eastAsia="微软雅黑" w:hAnsi="微软雅黑"/>
          <w:b/>
          <w:color w:val="0000FF"/>
          <w:sz w:val="28"/>
          <w:szCs w:val="24"/>
        </w:rPr>
      </w:pPr>
      <w:r>
        <w:rPr>
          <w:rFonts w:ascii="微软雅黑" w:eastAsia="微软雅黑" w:hAnsi="微软雅黑" w:hint="eastAsia"/>
          <w:b/>
          <w:color w:val="0000FF"/>
          <w:sz w:val="28"/>
          <w:szCs w:val="24"/>
        </w:rPr>
        <w:t>营销目标</w:t>
      </w:r>
    </w:p>
    <w:p w14:paraId="747E3478" w14:textId="1077FE39" w:rsidR="00203E01" w:rsidRDefault="008D2EA3" w:rsidP="00B01430">
      <w:pPr>
        <w:spacing w:before="100" w:beforeAutospacing="1" w:after="100" w:afterAutospacing="1"/>
        <w:textAlignment w:val="baseline"/>
        <w:rPr>
          <w:rFonts w:ascii="微软雅黑" w:eastAsia="微软雅黑" w:hAnsi="微软雅黑" w:hint="eastAsia"/>
        </w:rPr>
      </w:pPr>
      <w:r>
        <w:rPr>
          <w:rFonts w:ascii="微软雅黑" w:eastAsia="微软雅黑" w:hAnsi="微软雅黑" w:hint="eastAsia"/>
        </w:rPr>
        <w:t>平安银行希望通过游戏化的方式，实现趣味式、沉浸式的用户活跃场景，从而自然的完成</w:t>
      </w:r>
      <w:r>
        <w:rPr>
          <w:rFonts w:ascii="微软雅黑" w:eastAsia="微软雅黑" w:hAnsi="微软雅黑" w:hint="eastAsia"/>
        </w:rPr>
        <w:t>app</w:t>
      </w:r>
      <w:r>
        <w:rPr>
          <w:rFonts w:ascii="微软雅黑" w:eastAsia="微软雅黑" w:hAnsi="微软雅黑" w:hint="eastAsia"/>
        </w:rPr>
        <w:t>内的用户拉新以及促活。</w:t>
      </w:r>
    </w:p>
    <w:p w14:paraId="28AFD1DC" w14:textId="77777777" w:rsidR="00203E01" w:rsidRDefault="008D2EA3" w:rsidP="00B01430">
      <w:pPr>
        <w:spacing w:before="100" w:beforeAutospacing="1" w:after="100" w:afterAutospacing="1"/>
        <w:textAlignment w:val="baseline"/>
        <w:rPr>
          <w:rFonts w:ascii="微软雅黑" w:eastAsia="微软雅黑" w:hAnsi="微软雅黑"/>
          <w:b/>
          <w:color w:val="0000FF"/>
          <w:sz w:val="28"/>
          <w:szCs w:val="24"/>
        </w:rPr>
      </w:pPr>
      <w:r>
        <w:rPr>
          <w:rFonts w:ascii="微软雅黑" w:eastAsia="微软雅黑" w:hAnsi="微软雅黑" w:hint="eastAsia"/>
          <w:b/>
          <w:color w:val="0000FF"/>
          <w:sz w:val="28"/>
          <w:szCs w:val="24"/>
        </w:rPr>
        <w:t>策略与创意</w:t>
      </w:r>
    </w:p>
    <w:p w14:paraId="7C12BEE8" w14:textId="77777777" w:rsidR="00203E01" w:rsidRDefault="008D2EA3" w:rsidP="00B01430">
      <w:pPr>
        <w:pStyle w:val="10"/>
        <w:numPr>
          <w:ilvl w:val="0"/>
          <w:numId w:val="3"/>
        </w:numPr>
        <w:spacing w:before="100" w:beforeAutospacing="1" w:after="100" w:afterAutospacing="1"/>
        <w:ind w:firstLineChars="0"/>
        <w:textAlignment w:val="baseline"/>
        <w:rPr>
          <w:rFonts w:ascii="微软雅黑" w:eastAsia="微软雅黑" w:hAnsi="微软雅黑"/>
        </w:rPr>
      </w:pPr>
      <w:r>
        <w:rPr>
          <w:rFonts w:ascii="微软雅黑" w:eastAsia="微软雅黑" w:hAnsi="微软雅黑" w:hint="eastAsia"/>
        </w:rPr>
        <w:t>盖楼的活动玩法结合平安银行独特的橙子会员体系，创作了组队叠橙子</w:t>
      </w:r>
      <w:r>
        <w:rPr>
          <w:rFonts w:ascii="微软雅黑" w:eastAsia="微软雅黑" w:hAnsi="微软雅黑" w:hint="eastAsia"/>
        </w:rPr>
        <w:t>PK</w:t>
      </w:r>
      <w:r>
        <w:rPr>
          <w:rFonts w:ascii="微软雅黑" w:eastAsia="微软雅黑" w:hAnsi="微软雅黑" w:hint="eastAsia"/>
        </w:rPr>
        <w:t>的主体框架；</w:t>
      </w:r>
    </w:p>
    <w:p w14:paraId="7632D040" w14:textId="77777777" w:rsidR="00203E01" w:rsidRDefault="008D2EA3" w:rsidP="00B01430">
      <w:pPr>
        <w:pStyle w:val="10"/>
        <w:numPr>
          <w:ilvl w:val="0"/>
          <w:numId w:val="3"/>
        </w:numPr>
        <w:spacing w:before="100" w:beforeAutospacing="1" w:after="100" w:afterAutospacing="1"/>
        <w:ind w:firstLineChars="0"/>
        <w:textAlignment w:val="baseline"/>
        <w:rPr>
          <w:rFonts w:ascii="微软雅黑" w:eastAsia="微软雅黑" w:hAnsi="微软雅黑"/>
        </w:rPr>
      </w:pPr>
      <w:r>
        <w:rPr>
          <w:rFonts w:ascii="微软雅黑" w:eastAsia="微软雅黑" w:hAnsi="微软雅黑" w:hint="eastAsia"/>
        </w:rPr>
        <w:t>组队</w:t>
      </w:r>
      <w:r>
        <w:rPr>
          <w:rFonts w:ascii="微软雅黑" w:eastAsia="微软雅黑" w:hAnsi="微软雅黑" w:hint="eastAsia"/>
        </w:rPr>
        <w:t>PK</w:t>
      </w:r>
      <w:r>
        <w:rPr>
          <w:rFonts w:ascii="微软雅黑" w:eastAsia="微软雅黑" w:hAnsi="微软雅黑" w:hint="eastAsia"/>
        </w:rPr>
        <w:t>玩法，用户前</w:t>
      </w:r>
      <w:r>
        <w:rPr>
          <w:rFonts w:ascii="微软雅黑" w:eastAsia="微软雅黑" w:hAnsi="微软雅黑" w:hint="eastAsia"/>
        </w:rPr>
        <w:t>期需邀请</w:t>
      </w:r>
      <w:r>
        <w:rPr>
          <w:rFonts w:ascii="微软雅黑" w:eastAsia="微软雅黑" w:hAnsi="微软雅黑" w:hint="eastAsia"/>
        </w:rPr>
        <w:t>2-3</w:t>
      </w:r>
      <w:r>
        <w:rPr>
          <w:rFonts w:ascii="微软雅黑" w:eastAsia="微软雅黑" w:hAnsi="微软雅黑" w:hint="eastAsia"/>
        </w:rPr>
        <w:t>名用户完成组队，即可参与最终的</w:t>
      </w:r>
      <w:r>
        <w:rPr>
          <w:rFonts w:ascii="微软雅黑" w:eastAsia="微软雅黑" w:hAnsi="微软雅黑" w:hint="eastAsia"/>
        </w:rPr>
        <w:t>PK</w:t>
      </w:r>
      <w:r>
        <w:rPr>
          <w:rFonts w:ascii="微软雅黑" w:eastAsia="微软雅黑" w:hAnsi="微软雅黑" w:hint="eastAsia"/>
        </w:rPr>
        <w:t>获奖阶段。为降低前期用户难度感知。邀请</w:t>
      </w:r>
      <w:r>
        <w:rPr>
          <w:rFonts w:ascii="微软雅黑" w:eastAsia="微软雅黑" w:hAnsi="微软雅黑" w:hint="eastAsia"/>
        </w:rPr>
        <w:t>1</w:t>
      </w:r>
      <w:r>
        <w:rPr>
          <w:rFonts w:ascii="微软雅黑" w:eastAsia="微软雅黑" w:hAnsi="微软雅黑" w:hint="eastAsia"/>
        </w:rPr>
        <w:t>人、邀请</w:t>
      </w:r>
      <w:r>
        <w:rPr>
          <w:rFonts w:ascii="微软雅黑" w:eastAsia="微软雅黑" w:hAnsi="微软雅黑" w:hint="eastAsia"/>
        </w:rPr>
        <w:t>2</w:t>
      </w:r>
      <w:r>
        <w:rPr>
          <w:rFonts w:ascii="微软雅黑" w:eastAsia="微软雅黑" w:hAnsi="微软雅黑" w:hint="eastAsia"/>
        </w:rPr>
        <w:t>人可获随机奖励。提升组队完成率；</w:t>
      </w:r>
    </w:p>
    <w:p w14:paraId="166C1EC3" w14:textId="77777777" w:rsidR="00203E01" w:rsidRDefault="008D2EA3" w:rsidP="00B01430">
      <w:pPr>
        <w:pStyle w:val="10"/>
        <w:numPr>
          <w:ilvl w:val="0"/>
          <w:numId w:val="3"/>
        </w:numPr>
        <w:spacing w:before="100" w:beforeAutospacing="1" w:after="100" w:afterAutospacing="1"/>
        <w:ind w:firstLineChars="0"/>
        <w:textAlignment w:val="baseline"/>
        <w:rPr>
          <w:rFonts w:ascii="微软雅黑" w:eastAsia="微软雅黑" w:hAnsi="微软雅黑"/>
        </w:rPr>
      </w:pPr>
      <w:r>
        <w:rPr>
          <w:rFonts w:ascii="微软雅黑" w:eastAsia="微软雅黑" w:hAnsi="微软雅黑" w:hint="eastAsia"/>
        </w:rPr>
        <w:t>PK</w:t>
      </w:r>
      <w:r>
        <w:rPr>
          <w:rFonts w:ascii="微软雅黑" w:eastAsia="微软雅黑" w:hAnsi="微软雅黑" w:hint="eastAsia"/>
        </w:rPr>
        <w:t>阶段展示队伍预计可得奖励。放大利益刺激，用户感知真实可信。为获取</w:t>
      </w:r>
      <w:r>
        <w:rPr>
          <w:rFonts w:ascii="微软雅黑" w:eastAsia="微软雅黑" w:hAnsi="微软雅黑" w:hint="eastAsia"/>
        </w:rPr>
        <w:t>PK</w:t>
      </w:r>
      <w:r>
        <w:rPr>
          <w:rFonts w:ascii="微软雅黑" w:eastAsia="微软雅黑" w:hAnsi="微软雅黑" w:hint="eastAsia"/>
        </w:rPr>
        <w:t>胜利，需完成特定任务积累资源，根据不同用户身份等级给与不同初始资源（和银行指标相关</w:t>
      </w:r>
      <w:r>
        <w:rPr>
          <w:rFonts w:ascii="微软雅黑" w:eastAsia="微软雅黑" w:hAnsi="微软雅黑" w:hint="eastAsia"/>
        </w:rPr>
        <w:t xml:space="preserve"> </w:t>
      </w:r>
      <w:r>
        <w:rPr>
          <w:rFonts w:ascii="微软雅黑" w:eastAsia="微软雅黑" w:hAnsi="微软雅黑" w:hint="eastAsia"/>
        </w:rPr>
        <w:t>例</w:t>
      </w:r>
      <w:r>
        <w:rPr>
          <w:rFonts w:ascii="微软雅黑" w:eastAsia="微软雅黑" w:hAnsi="微软雅黑" w:hint="eastAsia"/>
        </w:rPr>
        <w:t>:</w:t>
      </w:r>
      <w:r>
        <w:rPr>
          <w:rFonts w:ascii="微软雅黑" w:eastAsia="微软雅黑" w:hAnsi="微软雅黑" w:hint="eastAsia"/>
        </w:rPr>
        <w:t>月存款额</w:t>
      </w:r>
      <w:r>
        <w:rPr>
          <w:rFonts w:ascii="微软雅黑" w:eastAsia="微软雅黑" w:hAnsi="微软雅黑" w:hint="eastAsia"/>
        </w:rPr>
        <w:t>2w</w:t>
      </w:r>
      <w:r>
        <w:rPr>
          <w:rFonts w:ascii="微软雅黑" w:eastAsia="微软雅黑" w:hAnsi="微软雅黑" w:hint="eastAsia"/>
        </w:rPr>
        <w:t>以上）；</w:t>
      </w:r>
    </w:p>
    <w:p w14:paraId="4CE4EDE4" w14:textId="77777777" w:rsidR="00203E01" w:rsidRDefault="008D2EA3" w:rsidP="00B01430">
      <w:pPr>
        <w:pStyle w:val="10"/>
        <w:numPr>
          <w:ilvl w:val="0"/>
          <w:numId w:val="3"/>
        </w:numPr>
        <w:spacing w:before="100" w:beforeAutospacing="1" w:after="100" w:afterAutospacing="1"/>
        <w:ind w:firstLineChars="0"/>
        <w:textAlignment w:val="baseline"/>
        <w:rPr>
          <w:rFonts w:ascii="微软雅黑" w:eastAsia="微软雅黑" w:hAnsi="微软雅黑"/>
        </w:rPr>
      </w:pPr>
      <w:r>
        <w:rPr>
          <w:rFonts w:ascii="微软雅黑" w:eastAsia="微软雅黑" w:hAnsi="微软雅黑" w:hint="eastAsia"/>
        </w:rPr>
        <w:t>活动新用户可获得大额初始资源，以此提升种子用户邀约率及新用户参与率，活动持续裂变；</w:t>
      </w:r>
    </w:p>
    <w:p w14:paraId="296AB33D" w14:textId="74746509" w:rsidR="00203E01" w:rsidRPr="00B01430" w:rsidRDefault="008D2EA3" w:rsidP="00B01430">
      <w:pPr>
        <w:pStyle w:val="10"/>
        <w:numPr>
          <w:ilvl w:val="0"/>
          <w:numId w:val="3"/>
        </w:numPr>
        <w:spacing w:before="100" w:beforeAutospacing="1" w:after="100" w:afterAutospacing="1"/>
        <w:ind w:firstLineChars="0"/>
        <w:textAlignment w:val="baseline"/>
        <w:rPr>
          <w:rFonts w:ascii="微软雅黑" w:eastAsia="微软雅黑" w:hAnsi="微软雅黑" w:hint="eastAsia"/>
        </w:rPr>
      </w:pPr>
      <w:r>
        <w:rPr>
          <w:rFonts w:ascii="微软雅黑" w:eastAsia="微软雅黑" w:hAnsi="微软雅黑" w:hint="eastAsia"/>
        </w:rPr>
        <w:t>应用目标：前期快速裂变聚集流量</w:t>
      </w:r>
      <w:r>
        <w:rPr>
          <w:rFonts w:ascii="微软雅黑" w:eastAsia="微软雅黑" w:hAnsi="微软雅黑" w:hint="eastAsia"/>
        </w:rPr>
        <w:t xml:space="preserve"> </w:t>
      </w:r>
      <w:r>
        <w:rPr>
          <w:rFonts w:ascii="微软雅黑" w:eastAsia="微软雅黑" w:hAnsi="微软雅黑" w:hint="eastAsia"/>
        </w:rPr>
        <w:t>总后期解决增存、理财转化等经营指标。</w:t>
      </w:r>
    </w:p>
    <w:p w14:paraId="7D6AE9CC" w14:textId="77777777" w:rsidR="00203E01" w:rsidRDefault="008D2EA3" w:rsidP="00B01430">
      <w:pPr>
        <w:pStyle w:val="10"/>
        <w:numPr>
          <w:ilvl w:val="0"/>
          <w:numId w:val="3"/>
        </w:numPr>
        <w:spacing w:before="100" w:beforeAutospacing="1" w:after="100" w:afterAutospacing="1"/>
        <w:ind w:firstLineChars="0"/>
        <w:textAlignment w:val="baseline"/>
        <w:rPr>
          <w:rFonts w:ascii="微软雅黑" w:eastAsia="微软雅黑" w:hAnsi="微软雅黑"/>
          <w:b/>
          <w:color w:val="0000FF"/>
          <w:sz w:val="28"/>
          <w:szCs w:val="24"/>
        </w:rPr>
      </w:pPr>
      <w:r>
        <w:rPr>
          <w:rFonts w:ascii="微软雅黑" w:eastAsia="微软雅黑" w:hAnsi="微软雅黑" w:hint="eastAsia"/>
          <w:b/>
          <w:color w:val="0000FF"/>
          <w:sz w:val="28"/>
          <w:szCs w:val="24"/>
        </w:rPr>
        <w:t>执行过程</w:t>
      </w:r>
      <w:r>
        <w:rPr>
          <w:rFonts w:ascii="微软雅黑" w:eastAsia="微软雅黑" w:hAnsi="微软雅黑" w:hint="eastAsia"/>
          <w:b/>
          <w:color w:val="0000FF"/>
          <w:sz w:val="28"/>
          <w:szCs w:val="24"/>
        </w:rPr>
        <w:t>/</w:t>
      </w:r>
      <w:r>
        <w:rPr>
          <w:rFonts w:ascii="微软雅黑" w:eastAsia="微软雅黑" w:hAnsi="微软雅黑" w:hint="eastAsia"/>
          <w:b/>
          <w:color w:val="0000FF"/>
          <w:sz w:val="28"/>
          <w:szCs w:val="24"/>
        </w:rPr>
        <w:t>媒体表现</w:t>
      </w:r>
    </w:p>
    <w:p w14:paraId="0998319F" w14:textId="77777777" w:rsidR="00203E01" w:rsidRDefault="008D2EA3" w:rsidP="00B01430">
      <w:pPr>
        <w:pStyle w:val="10"/>
        <w:numPr>
          <w:ilvl w:val="0"/>
          <w:numId w:val="4"/>
        </w:numPr>
        <w:spacing w:before="100" w:beforeAutospacing="1" w:after="100" w:afterAutospacing="1"/>
        <w:ind w:firstLineChars="0"/>
        <w:textAlignment w:val="baseline"/>
        <w:rPr>
          <w:rFonts w:ascii="微软雅黑" w:eastAsia="微软雅黑" w:hAnsi="微软雅黑"/>
        </w:rPr>
      </w:pPr>
      <w:r>
        <w:rPr>
          <w:rFonts w:ascii="微软雅黑" w:eastAsia="微软雅黑" w:hAnsi="微软雅黑" w:hint="eastAsia"/>
        </w:rPr>
        <w:t>用户研究阶段</w:t>
      </w:r>
    </w:p>
    <w:p w14:paraId="2EB453A4" w14:textId="77777777" w:rsidR="00203E01" w:rsidRDefault="008D2EA3" w:rsidP="00B01430">
      <w:pPr>
        <w:spacing w:before="100" w:beforeAutospacing="1" w:after="100" w:afterAutospacing="1"/>
        <w:textAlignment w:val="baseline"/>
        <w:rPr>
          <w:rFonts w:ascii="微软雅黑" w:eastAsia="微软雅黑" w:hAnsi="微软雅黑"/>
        </w:rPr>
      </w:pPr>
      <w:r>
        <w:rPr>
          <w:rFonts w:ascii="微软雅黑" w:eastAsia="微软雅黑" w:hAnsi="微软雅黑"/>
        </w:rPr>
        <w:lastRenderedPageBreak/>
        <w:t>&gt;</w:t>
      </w:r>
      <w:r>
        <w:rPr>
          <w:rFonts w:ascii="微软雅黑" w:eastAsia="微软雅黑" w:hAnsi="微软雅黑" w:hint="eastAsia"/>
        </w:rPr>
        <w:t>采用多种研究方法结合，明确用户画像和喜好</w:t>
      </w:r>
    </w:p>
    <w:p w14:paraId="56F97ADE" w14:textId="77777777" w:rsidR="00203E01" w:rsidRDefault="008D2EA3" w:rsidP="00B01430">
      <w:pPr>
        <w:spacing w:before="100" w:beforeAutospacing="1" w:after="100" w:afterAutospacing="1"/>
        <w:textAlignment w:val="baseline"/>
        <w:rPr>
          <w:rFonts w:ascii="微软雅黑" w:eastAsia="微软雅黑" w:hAnsi="微软雅黑"/>
        </w:rPr>
      </w:pPr>
      <w:r>
        <w:rPr>
          <w:rFonts w:ascii="微软雅黑" w:eastAsia="微软雅黑" w:hAnsi="微软雅黑"/>
          <w:noProof/>
        </w:rPr>
        <w:drawing>
          <wp:inline distT="0" distB="0" distL="0" distR="0" wp14:anchorId="213C98CF" wp14:editId="2CBEF699">
            <wp:extent cx="5720715" cy="30759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720715" cy="3075940"/>
                    </a:xfrm>
                    <a:prstGeom prst="rect">
                      <a:avLst/>
                    </a:prstGeom>
                  </pic:spPr>
                </pic:pic>
              </a:graphicData>
            </a:graphic>
          </wp:inline>
        </w:drawing>
      </w:r>
    </w:p>
    <w:p w14:paraId="3BEB6AA5" w14:textId="77777777" w:rsidR="00203E01" w:rsidRDefault="008D2EA3" w:rsidP="00B01430">
      <w:pPr>
        <w:pStyle w:val="10"/>
        <w:numPr>
          <w:ilvl w:val="0"/>
          <w:numId w:val="4"/>
        </w:numPr>
        <w:spacing w:before="100" w:beforeAutospacing="1" w:after="100" w:afterAutospacing="1"/>
        <w:ind w:firstLineChars="0"/>
        <w:textAlignment w:val="baseline"/>
        <w:rPr>
          <w:rFonts w:ascii="微软雅黑" w:eastAsia="微软雅黑" w:hAnsi="微软雅黑"/>
        </w:rPr>
      </w:pPr>
      <w:r>
        <w:rPr>
          <w:rFonts w:ascii="微软雅黑" w:eastAsia="微软雅黑" w:hAnsi="微软雅黑" w:hint="eastAsia"/>
        </w:rPr>
        <w:t>设计解决方案</w:t>
      </w:r>
    </w:p>
    <w:p w14:paraId="5167072B" w14:textId="77777777" w:rsidR="00203E01" w:rsidRDefault="008D2EA3" w:rsidP="00B01430">
      <w:pPr>
        <w:spacing w:before="100" w:beforeAutospacing="1" w:after="100" w:afterAutospacing="1"/>
        <w:textAlignment w:val="baseline"/>
        <w:rPr>
          <w:rFonts w:ascii="微软雅黑" w:eastAsia="微软雅黑" w:hAnsi="微软雅黑"/>
        </w:rPr>
      </w:pPr>
      <w:r>
        <w:rPr>
          <w:rFonts w:ascii="微软雅黑" w:eastAsia="微软雅黑" w:hAnsi="微软雅黑"/>
        </w:rPr>
        <w:t>&gt;</w:t>
      </w:r>
      <w:r>
        <w:rPr>
          <w:rFonts w:ascii="微软雅黑" w:eastAsia="微软雅黑" w:hAnsi="微软雅黑" w:hint="eastAsia"/>
        </w:rPr>
        <w:t>创新运营模式分析</w:t>
      </w:r>
    </w:p>
    <w:p w14:paraId="036EA63B" w14:textId="5B1D1446" w:rsidR="00203E01" w:rsidRDefault="008D2EA3" w:rsidP="00B01430">
      <w:pPr>
        <w:spacing w:before="100" w:beforeAutospacing="1" w:after="100" w:afterAutospacing="1"/>
        <w:textAlignment w:val="baseline"/>
        <w:rPr>
          <w:rFonts w:ascii="微软雅黑" w:eastAsia="微软雅黑" w:hAnsi="微软雅黑" w:hint="eastAsia"/>
        </w:rPr>
      </w:pPr>
      <w:r>
        <w:rPr>
          <w:rFonts w:ascii="微软雅黑" w:eastAsia="微软雅黑" w:hAnsi="微软雅黑"/>
          <w:noProof/>
        </w:rPr>
        <w:drawing>
          <wp:inline distT="0" distB="0" distL="0" distR="0" wp14:anchorId="3507044E" wp14:editId="693CEB11">
            <wp:extent cx="5720715" cy="28111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720715" cy="2811145"/>
                    </a:xfrm>
                    <a:prstGeom prst="rect">
                      <a:avLst/>
                    </a:prstGeom>
                  </pic:spPr>
                </pic:pic>
              </a:graphicData>
            </a:graphic>
          </wp:inline>
        </w:drawing>
      </w:r>
    </w:p>
    <w:p w14:paraId="5FC241C4" w14:textId="059FA769" w:rsidR="00203E01" w:rsidRDefault="008D2EA3" w:rsidP="00B01430">
      <w:pPr>
        <w:spacing w:before="100" w:beforeAutospacing="1" w:after="100" w:afterAutospacing="1"/>
        <w:textAlignment w:val="baseline"/>
        <w:rPr>
          <w:rFonts w:ascii="微软雅黑" w:eastAsia="微软雅黑" w:hAnsi="微软雅黑" w:hint="eastAsia"/>
        </w:rPr>
      </w:pPr>
      <w:r>
        <w:rPr>
          <w:rFonts w:ascii="微软雅黑" w:eastAsia="微软雅黑" w:hAnsi="微软雅黑"/>
          <w:noProof/>
        </w:rPr>
        <w:lastRenderedPageBreak/>
        <w:drawing>
          <wp:inline distT="0" distB="0" distL="0" distR="0" wp14:anchorId="6112D6FF" wp14:editId="2ACEDD17">
            <wp:extent cx="5720715" cy="2484120"/>
            <wp:effectExtent l="0" t="0" r="1968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rcRect b="16978"/>
                    <a:stretch>
                      <a:fillRect/>
                    </a:stretch>
                  </pic:blipFill>
                  <pic:spPr>
                    <a:xfrm>
                      <a:off x="0" y="0"/>
                      <a:ext cx="5720715" cy="2484120"/>
                    </a:xfrm>
                    <a:prstGeom prst="rect">
                      <a:avLst/>
                    </a:prstGeom>
                  </pic:spPr>
                </pic:pic>
              </a:graphicData>
            </a:graphic>
          </wp:inline>
        </w:drawing>
      </w:r>
    </w:p>
    <w:p w14:paraId="3A61DC30" w14:textId="77777777" w:rsidR="00203E01" w:rsidRDefault="008D2EA3" w:rsidP="00B01430">
      <w:pPr>
        <w:spacing w:before="100" w:beforeAutospacing="1" w:after="100" w:afterAutospacing="1"/>
        <w:textAlignment w:val="baseline"/>
        <w:rPr>
          <w:rFonts w:ascii="微软雅黑" w:eastAsia="微软雅黑" w:hAnsi="微软雅黑"/>
        </w:rPr>
      </w:pPr>
      <w:r>
        <w:rPr>
          <w:rFonts w:ascii="微软雅黑" w:eastAsia="微软雅黑" w:hAnsi="微软雅黑"/>
        </w:rPr>
        <w:t>&gt;</w:t>
      </w:r>
      <w:r>
        <w:rPr>
          <w:rFonts w:ascii="微软雅黑" w:eastAsia="微软雅黑" w:hAnsi="微软雅黑" w:hint="eastAsia"/>
        </w:rPr>
        <w:t>解决方案设计</w:t>
      </w:r>
    </w:p>
    <w:p w14:paraId="5748EB10" w14:textId="77777777" w:rsidR="00203E01" w:rsidRDefault="008D2EA3" w:rsidP="00B01430">
      <w:pPr>
        <w:spacing w:before="100" w:beforeAutospacing="1" w:after="100" w:afterAutospacing="1"/>
        <w:textAlignment w:val="baseline"/>
        <w:rPr>
          <w:rFonts w:ascii="微软雅黑" w:eastAsia="微软雅黑" w:hAnsi="微软雅黑"/>
        </w:rPr>
      </w:pPr>
      <w:r>
        <w:rPr>
          <w:rFonts w:ascii="微软雅黑" w:eastAsia="微软雅黑" w:hAnsi="微软雅黑" w:hint="eastAsia"/>
        </w:rPr>
        <w:t>活动以拉新促活为目标导向，融合了盖楼</w:t>
      </w:r>
      <w:r>
        <w:rPr>
          <w:rFonts w:ascii="微软雅黑" w:eastAsia="微软雅黑" w:hAnsi="微软雅黑" w:hint="eastAsia"/>
        </w:rPr>
        <w:t>PK</w:t>
      </w:r>
      <w:r>
        <w:rPr>
          <w:rFonts w:ascii="微软雅黑" w:eastAsia="微软雅黑" w:hAnsi="微软雅黑" w:hint="eastAsia"/>
        </w:rPr>
        <w:t>的活动玩法以及平安银行独特的橙子会员等级体系，完成了整体活动的设计，后续在活动上线后，结合数据反馈以及用户调研，不断的进行优化迭代，如今经过了接近</w:t>
      </w:r>
      <w:r>
        <w:rPr>
          <w:rFonts w:ascii="微软雅黑" w:eastAsia="微软雅黑" w:hAnsi="微软雅黑" w:hint="eastAsia"/>
        </w:rPr>
        <w:t>6</w:t>
      </w:r>
      <w:r>
        <w:rPr>
          <w:rFonts w:ascii="微软雅黑" w:eastAsia="微软雅黑" w:hAnsi="微软雅黑" w:hint="eastAsia"/>
        </w:rPr>
        <w:t>个月的打磨优化，最终孕育出了一个优秀的拉新促活的活动项目。</w:t>
      </w:r>
    </w:p>
    <w:p w14:paraId="66D1B271" w14:textId="58E622C9" w:rsidR="00203E01" w:rsidRDefault="008D2EA3" w:rsidP="00B01430">
      <w:pPr>
        <w:spacing w:before="100" w:beforeAutospacing="1" w:after="100" w:afterAutospacing="1"/>
        <w:jc w:val="center"/>
        <w:textAlignment w:val="baseline"/>
        <w:rPr>
          <w:rFonts w:ascii="微软雅黑" w:eastAsia="微软雅黑" w:hAnsi="微软雅黑" w:hint="eastAsia"/>
        </w:rPr>
      </w:pPr>
      <w:r>
        <w:rPr>
          <w:rFonts w:ascii="微软雅黑" w:eastAsia="微软雅黑" w:hAnsi="微软雅黑"/>
          <w:noProof/>
        </w:rPr>
        <w:drawing>
          <wp:inline distT="0" distB="0" distL="0" distR="0" wp14:anchorId="5D0476C6" wp14:editId="0F4D6558">
            <wp:extent cx="1469390" cy="2729865"/>
            <wp:effectExtent l="0" t="0" r="3810" b="635"/>
            <wp:docPr id="8" name="图片 8"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网站&#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2724" cy="2735566"/>
                    </a:xfrm>
                    <a:prstGeom prst="rect">
                      <a:avLst/>
                    </a:prstGeom>
                  </pic:spPr>
                </pic:pic>
              </a:graphicData>
            </a:graphic>
          </wp:inline>
        </w:drawing>
      </w:r>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noProof/>
        </w:rPr>
        <w:drawing>
          <wp:inline distT="0" distB="0" distL="0" distR="0" wp14:anchorId="2735AB86" wp14:editId="51020341">
            <wp:extent cx="1517015" cy="2745105"/>
            <wp:effectExtent l="0" t="0" r="0" b="0"/>
            <wp:docPr id="9" name="图片 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应用程序&#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8377" cy="2801293"/>
                    </a:xfrm>
                    <a:prstGeom prst="rect">
                      <a:avLst/>
                    </a:prstGeom>
                  </pic:spPr>
                </pic:pic>
              </a:graphicData>
            </a:graphic>
          </wp:inline>
        </w:drawing>
      </w:r>
    </w:p>
    <w:p w14:paraId="15B776F0" w14:textId="77777777" w:rsidR="00203E01" w:rsidRDefault="008D2EA3" w:rsidP="00B01430">
      <w:pPr>
        <w:spacing w:before="100" w:beforeAutospacing="1" w:after="100" w:afterAutospacing="1"/>
        <w:textAlignment w:val="baseline"/>
        <w:rPr>
          <w:rFonts w:ascii="微软雅黑" w:eastAsia="微软雅黑" w:hAnsi="微软雅黑"/>
        </w:rPr>
      </w:pPr>
      <w:r>
        <w:rPr>
          <w:rFonts w:ascii="微软雅黑" w:eastAsia="微软雅黑" w:hAnsi="微软雅黑"/>
        </w:rPr>
        <w:t>&gt;</w:t>
      </w:r>
      <w:r>
        <w:rPr>
          <w:rFonts w:ascii="微软雅黑" w:eastAsia="微软雅黑" w:hAnsi="微软雅黑" w:hint="eastAsia"/>
        </w:rPr>
        <w:t>落地效果保障</w:t>
      </w:r>
    </w:p>
    <w:p w14:paraId="3A5A9F84" w14:textId="77777777" w:rsidR="00203E01" w:rsidRDefault="008D2EA3" w:rsidP="00B01430">
      <w:pPr>
        <w:pStyle w:val="10"/>
        <w:numPr>
          <w:ilvl w:val="0"/>
          <w:numId w:val="3"/>
        </w:numPr>
        <w:spacing w:before="100" w:beforeAutospacing="1" w:after="100" w:afterAutospacing="1"/>
        <w:ind w:firstLineChars="0"/>
        <w:textAlignment w:val="baseline"/>
        <w:rPr>
          <w:rFonts w:ascii="微软雅黑" w:eastAsia="微软雅黑" w:hAnsi="微软雅黑"/>
        </w:rPr>
      </w:pPr>
      <w:r>
        <w:rPr>
          <w:rFonts w:ascii="微软雅黑" w:eastAsia="微软雅黑" w:hAnsi="微软雅黑" w:hint="eastAsia"/>
        </w:rPr>
        <w:t>项目人员组件成直线项目组形式，包含产品、运营、设计、技术开发，实行每日日会、周会制度，做到快速响应</w:t>
      </w:r>
    </w:p>
    <w:p w14:paraId="41A66BFC" w14:textId="77777777" w:rsidR="00203E01" w:rsidRDefault="008D2EA3" w:rsidP="00B01430">
      <w:pPr>
        <w:pStyle w:val="10"/>
        <w:numPr>
          <w:ilvl w:val="0"/>
          <w:numId w:val="3"/>
        </w:numPr>
        <w:spacing w:before="100" w:beforeAutospacing="1" w:after="100" w:afterAutospacing="1"/>
        <w:ind w:firstLineChars="0"/>
        <w:textAlignment w:val="baseline"/>
        <w:rPr>
          <w:rFonts w:ascii="微软雅黑" w:eastAsia="微软雅黑" w:hAnsi="微软雅黑"/>
        </w:rPr>
      </w:pPr>
      <w:r>
        <w:rPr>
          <w:rFonts w:ascii="微软雅黑" w:eastAsia="微软雅黑" w:hAnsi="微软雅黑" w:hint="eastAsia"/>
        </w:rPr>
        <w:t>项目上线后，通过竞品分析、用户调研以及数据分析／</w:t>
      </w:r>
      <w:r>
        <w:rPr>
          <w:rFonts w:ascii="微软雅黑" w:eastAsia="微软雅黑" w:hAnsi="微软雅黑" w:hint="eastAsia"/>
        </w:rPr>
        <w:t>AB</w:t>
      </w:r>
      <w:r>
        <w:rPr>
          <w:rFonts w:ascii="微软雅黑" w:eastAsia="微软雅黑" w:hAnsi="微软雅黑" w:hint="eastAsia"/>
        </w:rPr>
        <w:t>测试，不断指导方案迭代</w:t>
      </w:r>
    </w:p>
    <w:p w14:paraId="28898501" w14:textId="77777777" w:rsidR="00203E01" w:rsidRDefault="00203E01" w:rsidP="00B01430">
      <w:pPr>
        <w:spacing w:before="100" w:beforeAutospacing="1" w:after="100" w:afterAutospacing="1"/>
        <w:textAlignment w:val="baseline"/>
        <w:rPr>
          <w:rFonts w:ascii="微软雅黑" w:eastAsia="微软雅黑" w:hAnsi="微软雅黑"/>
          <w:b/>
        </w:rPr>
      </w:pPr>
    </w:p>
    <w:p w14:paraId="3EC044C4" w14:textId="77777777" w:rsidR="00203E01" w:rsidRDefault="00203E01" w:rsidP="00B01430">
      <w:pPr>
        <w:spacing w:before="100" w:beforeAutospacing="1" w:after="100" w:afterAutospacing="1"/>
        <w:textAlignment w:val="baseline"/>
        <w:rPr>
          <w:rFonts w:ascii="微软雅黑" w:eastAsia="微软雅黑" w:hAnsi="微软雅黑"/>
          <w:b/>
        </w:rPr>
      </w:pPr>
    </w:p>
    <w:p w14:paraId="711ADF07" w14:textId="77777777" w:rsidR="00203E01" w:rsidRDefault="008D2EA3" w:rsidP="00B01430">
      <w:pPr>
        <w:spacing w:before="100" w:beforeAutospacing="1" w:after="100" w:afterAutospacing="1"/>
        <w:textAlignment w:val="baseline"/>
        <w:rPr>
          <w:rFonts w:ascii="微软雅黑" w:eastAsia="微软雅黑" w:hAnsi="微软雅黑"/>
          <w:b/>
          <w:color w:val="0000FF"/>
          <w:sz w:val="28"/>
          <w:szCs w:val="24"/>
        </w:rPr>
      </w:pPr>
      <w:r>
        <w:rPr>
          <w:rFonts w:ascii="微软雅黑" w:eastAsia="微软雅黑" w:hAnsi="微软雅黑" w:hint="eastAsia"/>
          <w:b/>
          <w:color w:val="0000FF"/>
          <w:sz w:val="28"/>
          <w:szCs w:val="24"/>
        </w:rPr>
        <w:lastRenderedPageBreak/>
        <w:t>营销效果与市场反馈</w:t>
      </w:r>
    </w:p>
    <w:p w14:paraId="2EEB08DA" w14:textId="77777777" w:rsidR="00203E01" w:rsidRDefault="008D2EA3" w:rsidP="00B01430">
      <w:pPr>
        <w:widowControl/>
        <w:spacing w:before="100" w:beforeAutospacing="1" w:after="100" w:afterAutospacing="1"/>
        <w:rPr>
          <w:rFonts w:ascii="Segoe UI" w:hAnsi="Segoe UI" w:cs="Segoe UI"/>
          <w:kern w:val="0"/>
          <w:sz w:val="18"/>
          <w:szCs w:val="18"/>
        </w:rPr>
      </w:pPr>
      <w:r>
        <w:rPr>
          <w:rFonts w:ascii="微软雅黑" w:eastAsia="微软雅黑" w:hAnsi="微软雅黑" w:hint="eastAsia"/>
        </w:rPr>
        <w:t>数据表现：平安银行叠橙子大作战活</w:t>
      </w:r>
      <w:r>
        <w:rPr>
          <w:rFonts w:ascii="微软雅黑" w:eastAsia="微软雅黑" w:hAnsi="微软雅黑" w:hint="eastAsia"/>
        </w:rPr>
        <w:t>动在平安口袋银行</w:t>
      </w:r>
      <w:r>
        <w:rPr>
          <w:rFonts w:ascii="微软雅黑" w:eastAsia="微软雅黑" w:hAnsi="微软雅黑" w:hint="eastAsia"/>
        </w:rPr>
        <w:t>APP</w:t>
      </w:r>
      <w:r>
        <w:rPr>
          <w:rFonts w:ascii="微软雅黑" w:eastAsia="微软雅黑" w:hAnsi="微软雅黑" w:hint="eastAsia"/>
        </w:rPr>
        <w:t>上线后取得了巨大成果，活动的整体参与率达到了</w:t>
      </w:r>
      <w:r>
        <w:rPr>
          <w:rFonts w:ascii="微软雅黑" w:eastAsia="微软雅黑" w:hAnsi="微软雅黑" w:hint="eastAsia"/>
        </w:rPr>
        <w:t>77.8%</w:t>
      </w:r>
      <w:r>
        <w:rPr>
          <w:rFonts w:ascii="微软雅黑" w:eastAsia="微软雅黑" w:hAnsi="微软雅黑" w:hint="eastAsia"/>
        </w:rPr>
        <w:t>，人均复参达到了</w:t>
      </w:r>
      <w:r>
        <w:rPr>
          <w:rFonts w:ascii="微软雅黑" w:eastAsia="微软雅黑" w:hAnsi="微软雅黑" w:hint="eastAsia"/>
        </w:rPr>
        <w:t>4.58</w:t>
      </w:r>
      <w:r>
        <w:rPr>
          <w:rFonts w:ascii="微软雅黑" w:eastAsia="微软雅黑" w:hAnsi="微软雅黑" w:hint="eastAsia"/>
        </w:rPr>
        <w:t>，</w:t>
      </w:r>
      <w:r>
        <w:rPr>
          <w:rFonts w:ascii="微软雅黑" w:eastAsia="微软雅黑" w:hAnsi="微软雅黑" w:hint="eastAsia"/>
        </w:rPr>
        <w:t>app</w:t>
      </w:r>
      <w:r>
        <w:rPr>
          <w:rFonts w:ascii="微软雅黑" w:eastAsia="微软雅黑" w:hAnsi="微软雅黑" w:hint="eastAsia"/>
        </w:rPr>
        <w:t>端活动累计访问</w:t>
      </w:r>
      <w:proofErr w:type="spellStart"/>
      <w:r>
        <w:rPr>
          <w:rFonts w:ascii="微软雅黑" w:eastAsia="微软雅黑" w:hAnsi="微软雅黑" w:hint="eastAsia"/>
        </w:rPr>
        <w:t>uv</w:t>
      </w:r>
      <w:proofErr w:type="spellEnd"/>
      <w:r>
        <w:rPr>
          <w:rFonts w:ascii="微软雅黑" w:eastAsia="微软雅黑" w:hAnsi="微软雅黑" w:cs="Segoe UI"/>
          <w:szCs w:val="21"/>
        </w:rPr>
        <w:t xml:space="preserve"> 431071</w:t>
      </w:r>
      <w:r>
        <w:rPr>
          <w:rFonts w:ascii="微软雅黑" w:eastAsia="微软雅黑" w:hAnsi="微软雅黑" w:hint="eastAsia"/>
        </w:rPr>
        <w:t>，广泛得到了行方以及用户的好评。</w:t>
      </w:r>
    </w:p>
    <w:p w14:paraId="6270ECE3" w14:textId="642C7EA5" w:rsidR="00203E01" w:rsidRDefault="00203E01">
      <w:pPr>
        <w:pStyle w:val="10"/>
        <w:ind w:left="420" w:firstLineChars="0" w:firstLine="0"/>
        <w:rPr>
          <w:rFonts w:ascii="微软雅黑" w:eastAsia="微软雅黑" w:hAnsi="微软雅黑"/>
          <w:color w:val="FF0000"/>
          <w:szCs w:val="21"/>
        </w:rPr>
      </w:pPr>
    </w:p>
    <w:sectPr w:rsidR="00203E01">
      <w:headerReference w:type="even" r:id="rId13"/>
      <w:headerReference w:type="default" r:id="rId14"/>
      <w:footerReference w:type="even" r:id="rId15"/>
      <w:footerReference w:type="default" r:id="rId16"/>
      <w:headerReference w:type="first" r:id="rId17"/>
      <w:footerReference w:type="first" r:id="rId18"/>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A1ED35" w14:textId="77777777" w:rsidR="008D2EA3" w:rsidRDefault="008D2EA3">
      <w:r>
        <w:separator/>
      </w:r>
    </w:p>
  </w:endnote>
  <w:endnote w:type="continuationSeparator" w:id="0">
    <w:p w14:paraId="7E9A7862" w14:textId="77777777" w:rsidR="008D2EA3" w:rsidRDefault="008D2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Segoe UI">
    <w:altName w:val="﷽﷽﷽﷽﷽UÊ恀"/>
    <w:panose1 w:val="020B0502040204020203"/>
    <w:charset w:val="00"/>
    <w:family w:val="swiss"/>
    <w:pitch w:val="variable"/>
    <w:sig w:usb0="E4002EFF" w:usb1="C000E47F" w:usb2="00000009" w:usb3="00000000" w:csb0="000001FF" w:csb1="00000000"/>
  </w:font>
  <w:font w:name="Cambria">
    <w:altName w:val="苹方-简"/>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FAE57" w14:textId="77777777" w:rsidR="00203E01" w:rsidRDefault="008D2EA3">
    <w:pPr>
      <w:pStyle w:val="a7"/>
      <w:framePr w:wrap="around" w:vAnchor="text" w:hAnchor="margin" w:xAlign="right" w:y="1"/>
      <w:rPr>
        <w:rStyle w:val="ad"/>
      </w:rPr>
    </w:pPr>
    <w:r>
      <w:fldChar w:fldCharType="begin"/>
    </w:r>
    <w:r>
      <w:rPr>
        <w:rStyle w:val="ad"/>
      </w:rPr>
      <w:instrText xml:space="preserve">PAGE  </w:instrText>
    </w:r>
    <w:r>
      <w:fldChar w:fldCharType="separate"/>
    </w:r>
    <w:r>
      <w:rPr>
        <w:rStyle w:val="ad"/>
      </w:rPr>
      <w:t>1</w:t>
    </w:r>
    <w:r>
      <w:fldChar w:fldCharType="end"/>
    </w:r>
  </w:p>
  <w:p w14:paraId="4ABFEA17" w14:textId="77777777" w:rsidR="00203E01" w:rsidRDefault="00203E01">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A467B" w14:textId="77777777" w:rsidR="00203E01" w:rsidRDefault="00203E01">
    <w:pPr>
      <w:pStyle w:val="a7"/>
      <w:framePr w:wrap="around" w:vAnchor="text" w:hAnchor="margin" w:xAlign="right" w:y="1"/>
      <w:rPr>
        <w:rStyle w:val="ad"/>
      </w:rPr>
    </w:pPr>
  </w:p>
  <w:p w14:paraId="0C5ECAAF" w14:textId="77777777" w:rsidR="00203E01" w:rsidRDefault="00203E01">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98A5A" w14:textId="77777777" w:rsidR="00203E01" w:rsidRDefault="00203E0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805E58" w14:textId="77777777" w:rsidR="008D2EA3" w:rsidRDefault="008D2EA3">
      <w:r>
        <w:separator/>
      </w:r>
    </w:p>
  </w:footnote>
  <w:footnote w:type="continuationSeparator" w:id="0">
    <w:p w14:paraId="349F78EE" w14:textId="77777777" w:rsidR="008D2EA3" w:rsidRDefault="008D2E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8C9B1" w14:textId="77777777" w:rsidR="00203E01" w:rsidRDefault="00203E01">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CD504" w14:textId="77777777" w:rsidR="00203E01" w:rsidRDefault="008D2EA3">
    <w:pPr>
      <w:pStyle w:val="a8"/>
      <w:jc w:val="both"/>
      <w:rPr>
        <w:sz w:val="21"/>
      </w:rPr>
    </w:pPr>
    <w:r>
      <w:rPr>
        <w:b/>
        <w:noProof/>
        <w:color w:val="333333"/>
        <w:sz w:val="21"/>
      </w:rPr>
      <w:drawing>
        <wp:inline distT="0" distB="0" distL="0" distR="0" wp14:anchorId="38413032" wp14:editId="37E2B7D2">
          <wp:extent cx="881380" cy="445770"/>
          <wp:effectExtent l="0" t="0" r="0" b="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1">
                    <a:extLst>
                      <a:ext uri="{28A0092B-C50C-407E-A947-70E740481C1C}">
                        <a14:useLocalDpi xmlns:a14="http://schemas.microsoft.com/office/drawing/2010/main" val="0"/>
                      </a:ext>
                    </a:extLst>
                  </a:blip>
                  <a:srcRect t="15039" b="19783"/>
                  <a:stretch>
                    <a:fillRect/>
                  </a:stretch>
                </pic:blipFill>
                <pic:spPr>
                  <a:xfrm>
                    <a:off x="0" y="0"/>
                    <a:ext cx="904338" cy="457416"/>
                  </a:xfrm>
                  <a:prstGeom prst="rect">
                    <a:avLst/>
                  </a:prstGeom>
                  <a:ln>
                    <a:noFill/>
                  </a:ln>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11</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A0EAD" w14:textId="77777777" w:rsidR="00203E01" w:rsidRDefault="00203E01">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3E4B0323"/>
    <w:multiLevelType w:val="multilevel"/>
    <w:tmpl w:val="3E4B0323"/>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70F0726E"/>
    <w:multiLevelType w:val="multilevel"/>
    <w:tmpl w:val="70F072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A8FE5A90"/>
    <w:rsid w:val="BF2EF652"/>
    <w:rsid w:val="00020E7A"/>
    <w:rsid w:val="00024497"/>
    <w:rsid w:val="00041F15"/>
    <w:rsid w:val="00047EB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42184"/>
    <w:rsid w:val="00146A94"/>
    <w:rsid w:val="001540DA"/>
    <w:rsid w:val="00172A27"/>
    <w:rsid w:val="001731D8"/>
    <w:rsid w:val="00173E91"/>
    <w:rsid w:val="00176817"/>
    <w:rsid w:val="00181C7B"/>
    <w:rsid w:val="00184006"/>
    <w:rsid w:val="00192A5B"/>
    <w:rsid w:val="00194762"/>
    <w:rsid w:val="001954B4"/>
    <w:rsid w:val="0019737F"/>
    <w:rsid w:val="001A500D"/>
    <w:rsid w:val="001C4334"/>
    <w:rsid w:val="001D11F3"/>
    <w:rsid w:val="001D2E2D"/>
    <w:rsid w:val="001E12DA"/>
    <w:rsid w:val="001E38F1"/>
    <w:rsid w:val="001E6133"/>
    <w:rsid w:val="001F17F1"/>
    <w:rsid w:val="001F36FC"/>
    <w:rsid w:val="001F4270"/>
    <w:rsid w:val="00203E01"/>
    <w:rsid w:val="0020719F"/>
    <w:rsid w:val="002208F6"/>
    <w:rsid w:val="0022117C"/>
    <w:rsid w:val="002246E7"/>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D64"/>
    <w:rsid w:val="003F3BB6"/>
    <w:rsid w:val="003F3F93"/>
    <w:rsid w:val="003F410F"/>
    <w:rsid w:val="003F4BD3"/>
    <w:rsid w:val="00404490"/>
    <w:rsid w:val="00407F5C"/>
    <w:rsid w:val="00407FAE"/>
    <w:rsid w:val="004109EA"/>
    <w:rsid w:val="00423117"/>
    <w:rsid w:val="00426569"/>
    <w:rsid w:val="00426D8C"/>
    <w:rsid w:val="00431B24"/>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02F43"/>
    <w:rsid w:val="006126FE"/>
    <w:rsid w:val="00613CE9"/>
    <w:rsid w:val="00642F29"/>
    <w:rsid w:val="00644994"/>
    <w:rsid w:val="00650F34"/>
    <w:rsid w:val="0065606B"/>
    <w:rsid w:val="0065759C"/>
    <w:rsid w:val="00661A8D"/>
    <w:rsid w:val="006707FE"/>
    <w:rsid w:val="0067611E"/>
    <w:rsid w:val="00693C3F"/>
    <w:rsid w:val="006955F5"/>
    <w:rsid w:val="006A24F1"/>
    <w:rsid w:val="006A60A4"/>
    <w:rsid w:val="006C16A7"/>
    <w:rsid w:val="006C1733"/>
    <w:rsid w:val="006D5766"/>
    <w:rsid w:val="006F393D"/>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5032"/>
    <w:rsid w:val="00832432"/>
    <w:rsid w:val="008326D5"/>
    <w:rsid w:val="00833986"/>
    <w:rsid w:val="0085738D"/>
    <w:rsid w:val="008612D4"/>
    <w:rsid w:val="008674D7"/>
    <w:rsid w:val="00880022"/>
    <w:rsid w:val="00886198"/>
    <w:rsid w:val="008875A4"/>
    <w:rsid w:val="00891147"/>
    <w:rsid w:val="008B2200"/>
    <w:rsid w:val="008B689B"/>
    <w:rsid w:val="008C2693"/>
    <w:rsid w:val="008D2EA3"/>
    <w:rsid w:val="008F2CAF"/>
    <w:rsid w:val="00902EA3"/>
    <w:rsid w:val="0090431A"/>
    <w:rsid w:val="009076EA"/>
    <w:rsid w:val="00910C5D"/>
    <w:rsid w:val="00911F7D"/>
    <w:rsid w:val="00913B2E"/>
    <w:rsid w:val="00915DD8"/>
    <w:rsid w:val="009205FC"/>
    <w:rsid w:val="00932225"/>
    <w:rsid w:val="00932353"/>
    <w:rsid w:val="00946CB6"/>
    <w:rsid w:val="00970C56"/>
    <w:rsid w:val="0097433A"/>
    <w:rsid w:val="00976708"/>
    <w:rsid w:val="0098226A"/>
    <w:rsid w:val="009823A9"/>
    <w:rsid w:val="00983853"/>
    <w:rsid w:val="009849FB"/>
    <w:rsid w:val="00993AA4"/>
    <w:rsid w:val="009B0E2C"/>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1EE"/>
    <w:rsid w:val="00A502B1"/>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1430"/>
    <w:rsid w:val="00B03FD0"/>
    <w:rsid w:val="00B05B17"/>
    <w:rsid w:val="00B24DCC"/>
    <w:rsid w:val="00B25274"/>
    <w:rsid w:val="00B26769"/>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BF7466"/>
    <w:rsid w:val="00C00168"/>
    <w:rsid w:val="00C04E7B"/>
    <w:rsid w:val="00C078EC"/>
    <w:rsid w:val="00C171FB"/>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0373C"/>
    <w:rsid w:val="00D03FAF"/>
    <w:rsid w:val="00D13BC3"/>
    <w:rsid w:val="00D14F03"/>
    <w:rsid w:val="00D36DD4"/>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02832"/>
    <w:rsid w:val="00E02D80"/>
    <w:rsid w:val="00E21168"/>
    <w:rsid w:val="00E23547"/>
    <w:rsid w:val="00E26E63"/>
    <w:rsid w:val="00E336C0"/>
    <w:rsid w:val="00E40EE7"/>
    <w:rsid w:val="00E457D7"/>
    <w:rsid w:val="00E46527"/>
    <w:rsid w:val="00E52687"/>
    <w:rsid w:val="00E569E4"/>
    <w:rsid w:val="00E60CF7"/>
    <w:rsid w:val="00E60DF3"/>
    <w:rsid w:val="00E745ED"/>
    <w:rsid w:val="00E77E2B"/>
    <w:rsid w:val="00E8120B"/>
    <w:rsid w:val="00E81E0A"/>
    <w:rsid w:val="00E846BA"/>
    <w:rsid w:val="00E86C47"/>
    <w:rsid w:val="00E92CC7"/>
    <w:rsid w:val="00E93D45"/>
    <w:rsid w:val="00EA4712"/>
    <w:rsid w:val="00EA47A5"/>
    <w:rsid w:val="00EA652C"/>
    <w:rsid w:val="00EB0731"/>
    <w:rsid w:val="00EC320D"/>
    <w:rsid w:val="00EC4DA4"/>
    <w:rsid w:val="00EC6379"/>
    <w:rsid w:val="00ED507C"/>
    <w:rsid w:val="00EE38CD"/>
    <w:rsid w:val="00EE6D2C"/>
    <w:rsid w:val="00EE72D7"/>
    <w:rsid w:val="00EF4748"/>
    <w:rsid w:val="00F0134F"/>
    <w:rsid w:val="00F22C99"/>
    <w:rsid w:val="00F35569"/>
    <w:rsid w:val="00F3618F"/>
    <w:rsid w:val="00F4008B"/>
    <w:rsid w:val="00F41E61"/>
    <w:rsid w:val="00F44CAE"/>
    <w:rsid w:val="00F503C8"/>
    <w:rsid w:val="00F56689"/>
    <w:rsid w:val="00F64A4B"/>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779FF2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7C3F21"/>
  <w15:docId w15:val="{B7D0FE37-8ECF-9644-A850-B67B0A39F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qFormat/>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4">
    <w:name w:val="Plain Text"/>
    <w:basedOn w:val="a"/>
    <w:qFormat/>
    <w:pPr>
      <w:widowControl/>
      <w:jc w:val="left"/>
    </w:pPr>
    <w:rPr>
      <w:rFonts w:ascii="Arial" w:hAnsi="Arial"/>
      <w:kern w:val="0"/>
      <w:sz w:val="18"/>
    </w:rPr>
  </w:style>
  <w:style w:type="paragraph" w:styleId="a5">
    <w:name w:val="Balloon Text"/>
    <w:basedOn w:val="a"/>
    <w:link w:val="a6"/>
    <w:uiPriority w:val="99"/>
    <w:unhideWhenUsed/>
    <w:qFormat/>
    <w:rPr>
      <w:sz w:val="18"/>
      <w:szCs w:val="18"/>
    </w:r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bottom w:val="single" w:sz="6" w:space="1" w:color="auto"/>
      </w:pBdr>
      <w:tabs>
        <w:tab w:val="center" w:pos="4153"/>
        <w:tab w:val="right" w:pos="8306"/>
      </w:tabs>
      <w:snapToGrid w:val="0"/>
      <w:jc w:val="center"/>
    </w:pPr>
    <w:rPr>
      <w:sz w:val="18"/>
    </w:rPr>
  </w:style>
  <w:style w:type="paragraph" w:styleId="a9">
    <w:name w:val="Normal (Web)"/>
    <w:basedOn w:val="a"/>
    <w:qFormat/>
    <w:pPr>
      <w:widowControl/>
      <w:spacing w:before="100" w:beforeAutospacing="1" w:after="100" w:afterAutospacing="1"/>
      <w:jc w:val="left"/>
    </w:pPr>
    <w:rPr>
      <w:rFonts w:ascii="宋体" w:hAnsi="宋体"/>
      <w:kern w:val="0"/>
      <w:sz w:val="24"/>
    </w:rPr>
  </w:style>
  <w:style w:type="paragraph" w:styleId="aa">
    <w:name w:val="Title"/>
    <w:basedOn w:val="a"/>
    <w:link w:val="ab"/>
    <w:qFormat/>
    <w:pPr>
      <w:widowControl/>
      <w:jc w:val="center"/>
    </w:pPr>
    <w:rPr>
      <w:b/>
      <w:sz w:val="28"/>
      <w:lang w:eastAsia="en-US"/>
    </w:rPr>
  </w:style>
  <w:style w:type="character" w:styleId="ac">
    <w:name w:val="Strong"/>
    <w:basedOn w:val="a0"/>
    <w:qFormat/>
    <w:rPr>
      <w:b/>
    </w:rPr>
  </w:style>
  <w:style w:type="character" w:styleId="ad">
    <w:name w:val="page number"/>
    <w:basedOn w:val="a0"/>
    <w:qFormat/>
  </w:style>
  <w:style w:type="character" w:styleId="ae">
    <w:name w:val="Emphasis"/>
    <w:basedOn w:val="a0"/>
    <w:qFormat/>
    <w:rPr>
      <w:i/>
    </w:rPr>
  </w:style>
  <w:style w:type="character" w:styleId="af">
    <w:name w:val="Hyperlink"/>
    <w:basedOn w:val="a0"/>
    <w:qFormat/>
    <w:rPr>
      <w:color w:val="0000FF"/>
      <w:u w:val="single"/>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b">
    <w:name w:val="标题 字符"/>
    <w:basedOn w:val="a0"/>
    <w:link w:val="aa"/>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customStyle="1" w:styleId="10">
    <w:name w:val="列表段落1"/>
    <w:basedOn w:val="a"/>
    <w:uiPriority w:val="34"/>
    <w:qFormat/>
    <w:pPr>
      <w:ind w:firstLineChars="200" w:firstLine="420"/>
    </w:pPr>
    <w:rPr>
      <w:rFonts w:ascii="Calibri" w:hAnsi="Calibri"/>
    </w:rPr>
  </w:style>
  <w:style w:type="paragraph" w:customStyle="1" w:styleId="p0">
    <w:name w:val="p0"/>
    <w:basedOn w:val="a"/>
    <w:qFormat/>
    <w:pPr>
      <w:widowControl/>
    </w:pPr>
    <w:rPr>
      <w:kern w:val="0"/>
    </w:rPr>
  </w:style>
  <w:style w:type="paragraph" w:customStyle="1" w:styleId="css">
    <w:name w:val="css"/>
    <w:basedOn w:val="a"/>
    <w:qFormat/>
    <w:pPr>
      <w:widowControl/>
      <w:spacing w:before="100" w:beforeAutospacing="1" w:after="100" w:afterAutospacing="1"/>
      <w:jc w:val="left"/>
    </w:pPr>
    <w:rPr>
      <w:rFonts w:ascii="宋体" w:hAnsi="宋体"/>
      <w:color w:val="0F0000"/>
      <w:kern w:val="0"/>
      <w:sz w:val="18"/>
    </w:rPr>
  </w:style>
  <w:style w:type="paragraph" w:customStyle="1" w:styleId="af1">
    <w:name w:val="清單段落"/>
    <w:basedOn w:val="a"/>
    <w:qFormat/>
    <w:pPr>
      <w:ind w:left="720"/>
    </w:pPr>
  </w:style>
  <w:style w:type="character" w:customStyle="1" w:styleId="a6">
    <w:name w:val="批注框文本 字符"/>
    <w:basedOn w:val="a0"/>
    <w:link w:val="a5"/>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162</Words>
  <Characters>925</Characters>
  <Application>Microsoft Office Word</Application>
  <DocSecurity>0</DocSecurity>
  <Lines>7</Lines>
  <Paragraphs>2</Paragraphs>
  <ScaleCrop>false</ScaleCrop>
  <Company>WWW.YlmF.CoM</Company>
  <LinksUpToDate>false</LinksUpToDate>
  <CharactersWithSpaces>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6</cp:revision>
  <cp:lastPrinted>2012-10-12T08:46:00Z</cp:lastPrinted>
  <dcterms:created xsi:type="dcterms:W3CDTF">2021-01-16T06:06:00Z</dcterms:created>
  <dcterms:modified xsi:type="dcterms:W3CDTF">2021-02-03T07:29:00Z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2052-3.1.1.4956</vt:lpwstr>
  </property>
</Properties>
</file>