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B7C2D1" w14:textId="36249C81" w:rsidR="00965DEB" w:rsidRDefault="002E297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E2970">
        <w:rPr>
          <w:rFonts w:ascii="微软雅黑" w:eastAsia="微软雅黑" w:hAnsi="微软雅黑" w:hint="eastAsia"/>
          <w:b/>
          <w:bCs/>
          <w:sz w:val="32"/>
          <w:szCs w:val="32"/>
        </w:rPr>
        <w:t xml:space="preserve"> “从0到1”—佳贝艾特营嘉新品推广项目</w:t>
      </w:r>
    </w:p>
    <w:p w14:paraId="5932ED35" w14:textId="545A28A2" w:rsidR="00965DEB" w:rsidRDefault="001003C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2E2970">
        <w:rPr>
          <w:rFonts w:ascii="微软雅黑" w:eastAsia="微软雅黑" w:hAnsi="微软雅黑" w:hint="eastAsia"/>
          <w:sz w:val="21"/>
          <w:szCs w:val="21"/>
        </w:rPr>
        <w:t>佳贝艾特</w:t>
      </w:r>
    </w:p>
    <w:p w14:paraId="11C2EDE9" w14:textId="21D5B0DC" w:rsidR="00965DEB" w:rsidRDefault="001003C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2E2970">
        <w:rPr>
          <w:rFonts w:ascii="微软雅黑" w:eastAsia="微软雅黑" w:hAnsi="微软雅黑" w:hint="eastAsia"/>
          <w:sz w:val="21"/>
          <w:szCs w:val="21"/>
        </w:rPr>
        <w:t>奶粉</w:t>
      </w:r>
    </w:p>
    <w:p w14:paraId="7E2DCD72" w14:textId="42CF8280" w:rsidR="00965DEB" w:rsidRDefault="001003CD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2E2970">
        <w:rPr>
          <w:rFonts w:ascii="微软雅黑" w:eastAsia="微软雅黑" w:hAnsi="微软雅黑" w:hint="eastAsia"/>
          <w:sz w:val="21"/>
          <w:szCs w:val="21"/>
        </w:rPr>
        <w:t>2019.05</w:t>
      </w:r>
      <w:r w:rsidR="002E2970">
        <w:rPr>
          <w:rFonts w:ascii="微软雅黑" w:eastAsia="微软雅黑" w:hAnsi="微软雅黑"/>
          <w:sz w:val="21"/>
          <w:szCs w:val="21"/>
        </w:rPr>
        <w:t>-</w:t>
      </w:r>
      <w:r w:rsidR="00B84560">
        <w:rPr>
          <w:rFonts w:ascii="微软雅黑" w:eastAsia="微软雅黑" w:hAnsi="微软雅黑"/>
          <w:sz w:val="21"/>
          <w:szCs w:val="21"/>
        </w:rPr>
        <w:t>2020.</w:t>
      </w:r>
      <w:r w:rsidRPr="002E2970">
        <w:rPr>
          <w:rFonts w:ascii="微软雅黑" w:eastAsia="微软雅黑" w:hAnsi="微软雅黑" w:hint="eastAsia"/>
          <w:sz w:val="21"/>
          <w:szCs w:val="21"/>
        </w:rPr>
        <w:t>06</w:t>
      </w:r>
    </w:p>
    <w:p w14:paraId="3D6B85CA" w14:textId="0FBDF16D" w:rsidR="00965DEB" w:rsidRDefault="001003CD" w:rsidP="002E2970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E2970" w:rsidRPr="002E2970">
        <w:rPr>
          <w:rFonts w:ascii="微软雅黑" w:eastAsia="微软雅黑" w:hAnsi="微软雅黑"/>
          <w:bCs/>
          <w:sz w:val="21"/>
          <w:szCs w:val="21"/>
        </w:rPr>
        <w:t>智能营销类</w:t>
      </w:r>
    </w:p>
    <w:p w14:paraId="37745B2E" w14:textId="018BDAED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4549FAF" w14:textId="6D5A642D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补钙可以保护骨骼，补硒可以提高人体免疫力。研究表明，中国人普遍缺钙、缺硒，我国人均日钙摄入量不到推荐量的1/2，有72%地区处于“低硒”地带，中国的成人奶粉市场拥有巨大需求缺口。</w:t>
      </w:r>
    </w:p>
    <w:p w14:paraId="72A47854" w14:textId="3FC20763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佳贝艾特作为荷兰百年乳企，希望进军国内成人奶粉新蓝海，推出了营嘉这款成人羊奶粉新品，希望俘获更多消费者心智，实现市场版图的扩张。</w:t>
      </w:r>
    </w:p>
    <w:p w14:paraId="3597D001" w14:textId="11A23BB5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6000785" w14:textId="17D940F5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为佳贝艾特新品营嘉初步架构线上传播链条，完成营嘉「从0到1」的突破。</w:t>
      </w:r>
    </w:p>
    <w:p w14:paraId="76B3E485" w14:textId="049DC54F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84AD6A5" w14:textId="33A7140F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如何利用搜索为营嘉实现从“0到1”的突破？</w:t>
      </w:r>
    </w:p>
    <w:p w14:paraId="6AFE1966" w14:textId="2BB94B4F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sz w:val="21"/>
          <w:szCs w:val="21"/>
        </w:rPr>
        <w:t>虽然营嘉的需求人群是对营养补充有迫切需求的“55-80岁中老年”，但沟通人群却是家庭营养健康的把关者——“28-55岁女性”。小红书用户与营嘉沟通人群高度匹配，而百度是搜索的大本营，集中在这两个平台上发力，营销性价比极高。我们将针对这两个平台，以搜索作为营销方式的收口，通过配合、承接新品上市的传播路径，实现品牌曝光度和口碑度的双重提升，让品牌声量从0到1，从无到有。</w:t>
      </w:r>
    </w:p>
    <w:p w14:paraId="63D72D96" w14:textId="7E8AD097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noProof/>
          <w:sz w:val="22"/>
        </w:rPr>
        <w:lastRenderedPageBreak/>
        <w:drawing>
          <wp:inline distT="0" distB="0" distL="114300" distR="114300" wp14:anchorId="64263317" wp14:editId="2882DAC4">
            <wp:extent cx="5716270" cy="3218815"/>
            <wp:effectExtent l="0" t="0" r="17780" b="635"/>
            <wp:docPr id="1" name="图片 1" descr="jba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bat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D89C" w14:textId="2E712838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8CBBFDD" w14:textId="4620AD75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新品上市的传播路径可分为四个阶段：预热传播、上市引爆、品牌价值渗透、活动促销。</w:t>
      </w:r>
    </w:p>
    <w:p w14:paraId="7459B7BB" w14:textId="6EAB356C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【预热阶段】 </w:t>
      </w:r>
      <w:r>
        <w:rPr>
          <w:rFonts w:ascii="微软雅黑" w:eastAsia="微软雅黑" w:hAnsi="微软雅黑"/>
          <w:b/>
          <w:bCs/>
          <w:sz w:val="21"/>
          <w:szCs w:val="21"/>
        </w:rPr>
        <w:t>借势主品牌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佳贝艾特</w:t>
      </w:r>
      <w:r>
        <w:rPr>
          <w:rFonts w:ascii="微软雅黑" w:eastAsia="微软雅黑" w:hAnsi="微软雅黑"/>
          <w:b/>
          <w:bCs/>
          <w:sz w:val="21"/>
          <w:szCs w:val="21"/>
        </w:rPr>
        <w:t>，扩大代言人影响力</w:t>
      </w:r>
    </w:p>
    <w:p w14:paraId="2EE1D377" w14:textId="392D5ADC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通过母品牌+产品词首页的霸屏控制，达到母品牌背书+品牌阵地建设的效果，</w:t>
      </w:r>
      <w:r>
        <w:rPr>
          <w:rFonts w:ascii="微软雅黑" w:eastAsia="微软雅黑" w:hAnsi="微软雅黑" w:hint="eastAsia"/>
          <w:sz w:val="21"/>
          <w:szCs w:val="21"/>
        </w:rPr>
        <w:t>使得</w:t>
      </w:r>
      <w:r>
        <w:rPr>
          <w:rFonts w:ascii="微软雅黑" w:eastAsia="微软雅黑" w:hAnsi="微软雅黑"/>
          <w:sz w:val="21"/>
          <w:szCs w:val="21"/>
        </w:rPr>
        <w:t>营嘉信息展现率高达80%以上</w:t>
      </w:r>
      <w:r>
        <w:rPr>
          <w:rFonts w:ascii="微软雅黑" w:eastAsia="微软雅黑" w:hAnsi="微软雅黑" w:hint="eastAsia"/>
          <w:sz w:val="21"/>
          <w:szCs w:val="21"/>
        </w:rPr>
        <w:t>，同时官宣代言人，线上通稿同步发声，在用户搜索代言人时处处展现营嘉信息。</w:t>
      </w:r>
    </w:p>
    <w:p w14:paraId="787B5FC0" w14:textId="1C036FAF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3F0F49C6" wp14:editId="488E1017">
            <wp:extent cx="5712460" cy="3218815"/>
            <wp:effectExtent l="0" t="0" r="2540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EDCE" w14:textId="6AA5E48F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【上市引爆和品牌价值渗透阶段】 </w:t>
      </w:r>
      <w:r>
        <w:rPr>
          <w:rFonts w:ascii="微软雅黑" w:eastAsia="微软雅黑" w:hAnsi="微软雅黑"/>
          <w:b/>
          <w:bCs/>
          <w:sz w:val="21"/>
          <w:szCs w:val="21"/>
        </w:rPr>
        <w:t>配合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营嘉</w:t>
      </w:r>
      <w:r>
        <w:rPr>
          <w:rFonts w:ascii="微软雅黑" w:eastAsia="微软雅黑" w:hAnsi="微软雅黑"/>
          <w:b/>
          <w:bCs/>
          <w:sz w:val="21"/>
          <w:szCs w:val="21"/>
        </w:rPr>
        <w:t>线上下广告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/>
          <w:b/>
          <w:bCs/>
          <w:sz w:val="21"/>
          <w:szCs w:val="21"/>
        </w:rPr>
        <w:t>实现搜索收口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/>
          <w:b/>
          <w:bCs/>
          <w:sz w:val="21"/>
          <w:szCs w:val="21"/>
        </w:rPr>
        <w:t>同时盘活IP资产，让新品植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入</w:t>
      </w:r>
      <w:r>
        <w:rPr>
          <w:rFonts w:ascii="微软雅黑" w:eastAsia="微软雅黑" w:hAnsi="微软雅黑"/>
          <w:b/>
          <w:bCs/>
          <w:sz w:val="21"/>
          <w:szCs w:val="21"/>
        </w:rPr>
        <w:t>用户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心中</w:t>
      </w:r>
    </w:p>
    <w:p w14:paraId="1FA5D2E5" w14:textId="6B043011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在营嘉与大热电视剧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综艺合作后，PR稿同步上线，延长IP营销生命力，最大化品牌IP营销效果</w:t>
      </w:r>
      <w:r>
        <w:rPr>
          <w:rFonts w:ascii="微软雅黑" w:eastAsia="微软雅黑" w:hAnsi="微软雅黑" w:hint="eastAsia"/>
          <w:sz w:val="21"/>
          <w:szCs w:val="21"/>
        </w:rPr>
        <w:t>，并</w:t>
      </w:r>
      <w:r>
        <w:rPr>
          <w:rFonts w:ascii="微软雅黑" w:eastAsia="微软雅黑" w:hAnsi="微软雅黑"/>
          <w:sz w:val="21"/>
          <w:szCs w:val="21"/>
        </w:rPr>
        <w:t>在“羊奶粉”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“成人奶粉”等大词下，铺设营嘉信息并多点曝光，让潜在消费者搜索时第一时间看到品牌，配合各类广告形成良好的曝光效果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9B2A06B" w14:textId="1AB4DF02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0D0C100F" wp14:editId="22D0D0CA">
            <wp:extent cx="5712460" cy="3218815"/>
            <wp:effectExtent l="0" t="0" r="2540" b="63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3880" w14:textId="793E21B4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【活动促销阶段】 </w:t>
      </w:r>
      <w:r>
        <w:rPr>
          <w:rFonts w:ascii="微软雅黑" w:eastAsia="微软雅黑" w:hAnsi="微软雅黑"/>
          <w:b/>
          <w:bCs/>
          <w:sz w:val="21"/>
          <w:szCs w:val="21"/>
        </w:rPr>
        <w:t>瞄准电商/节日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作为</w:t>
      </w:r>
      <w:r>
        <w:rPr>
          <w:rFonts w:ascii="微软雅黑" w:eastAsia="微软雅黑" w:hAnsi="微软雅黑"/>
          <w:b/>
          <w:bCs/>
          <w:sz w:val="21"/>
          <w:szCs w:val="21"/>
        </w:rPr>
        <w:t>突破口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，以</w:t>
      </w:r>
      <w:r>
        <w:rPr>
          <w:rFonts w:ascii="微软雅黑" w:eastAsia="微软雅黑" w:hAnsi="微软雅黑"/>
          <w:b/>
          <w:bCs/>
          <w:sz w:val="21"/>
          <w:szCs w:val="21"/>
        </w:rPr>
        <w:t>双平台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作为</w:t>
      </w:r>
      <w:r>
        <w:rPr>
          <w:rFonts w:ascii="微软雅黑" w:eastAsia="微软雅黑" w:hAnsi="微软雅黑"/>
          <w:b/>
          <w:bCs/>
          <w:sz w:val="21"/>
          <w:szCs w:val="21"/>
        </w:rPr>
        <w:t>收口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/>
          <w:b/>
          <w:bCs/>
          <w:sz w:val="21"/>
          <w:szCs w:val="21"/>
        </w:rPr>
        <w:t>引爆营嘉种草力</w:t>
      </w:r>
    </w:p>
    <w:p w14:paraId="312142FC" w14:textId="32408BE7" w:rsidR="00965DEB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平台上，搜索“春节送礼”、“双十一羊奶粉”等节庆、电商词，均出现佳贝艾特营嘉奶粉信息，引导消费者种草营嘉。在小红书平台中布局营嘉口碑，通过KOL与KOC同步带货，场景化种草用户，内容同步为电商导流。</w:t>
      </w:r>
    </w:p>
    <w:p w14:paraId="5A707301" w14:textId="7143E871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FE697D8" wp14:editId="0C5C17BB">
            <wp:extent cx="5716270" cy="3218815"/>
            <wp:effectExtent l="0" t="0" r="17780" b="63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5CB3" w14:textId="55393AD9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99010A6" w14:textId="1733F15B" w:rsidR="00965DEB" w:rsidRPr="002E2970" w:rsidRDefault="001003CD" w:rsidP="002E297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经过策略执行，让营嘉在国内的讨论声量从无到有，各平台讨论指数直线攀升，百度及小红书平台内容增长量达百倍级。此外，营嘉的认知度也迅速得到提升，曝光量提升1000W+，天猫月均搜索指数提升至7K+，营嘉在成人羊奶粉市场搜索份额提升近10%，已进入成人羊奶粉行业TOP5，并助力</w:t>
      </w:r>
      <w:r>
        <w:rPr>
          <w:rFonts w:ascii="微软雅黑" w:eastAsia="微软雅黑" w:hAnsi="微软雅黑"/>
          <w:sz w:val="21"/>
          <w:szCs w:val="21"/>
        </w:rPr>
        <w:t>电商</w:t>
      </w:r>
      <w:r>
        <w:rPr>
          <w:rFonts w:ascii="微软雅黑" w:eastAsia="微软雅黑" w:hAnsi="微软雅黑" w:hint="eastAsia"/>
          <w:sz w:val="21"/>
          <w:szCs w:val="21"/>
        </w:rPr>
        <w:t>平台</w:t>
      </w:r>
      <w:r>
        <w:rPr>
          <w:rFonts w:ascii="微软雅黑" w:eastAsia="微软雅黑" w:hAnsi="微软雅黑"/>
          <w:sz w:val="21"/>
          <w:szCs w:val="21"/>
        </w:rPr>
        <w:t>销量</w:t>
      </w:r>
      <w:r>
        <w:rPr>
          <w:rFonts w:ascii="微软雅黑" w:eastAsia="微软雅黑" w:hAnsi="微软雅黑" w:hint="eastAsia"/>
          <w:sz w:val="21"/>
          <w:szCs w:val="21"/>
        </w:rPr>
        <w:t>实现</w:t>
      </w:r>
      <w:r>
        <w:rPr>
          <w:rFonts w:ascii="微软雅黑" w:eastAsia="微软雅黑" w:hAnsi="微软雅黑"/>
          <w:sz w:val="21"/>
          <w:szCs w:val="21"/>
        </w:rPr>
        <w:t>“从0到1”</w:t>
      </w:r>
      <w:r>
        <w:rPr>
          <w:rFonts w:ascii="微软雅黑" w:eastAsia="微软雅黑" w:hAnsi="微软雅黑" w:hint="eastAsia"/>
          <w:sz w:val="21"/>
          <w:szCs w:val="21"/>
        </w:rPr>
        <w:t>增长，突破一万五千</w:t>
      </w:r>
      <w:r>
        <w:rPr>
          <w:rFonts w:ascii="微软雅黑" w:eastAsia="微软雅黑" w:hAnsi="微软雅黑"/>
          <w:sz w:val="21"/>
          <w:szCs w:val="21"/>
        </w:rPr>
        <w:t>罐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6DB8726" w14:textId="77777777" w:rsidR="00965DEB" w:rsidRDefault="001003CD" w:rsidP="002E2970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114300" distR="114300" wp14:anchorId="440727BE" wp14:editId="618C7073">
            <wp:extent cx="5712460" cy="3218815"/>
            <wp:effectExtent l="0" t="0" r="2540" b="63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4E49" w14:textId="3EBEDF44" w:rsidR="00965DEB" w:rsidRDefault="00965DEB" w:rsidP="002E2970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965D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7DA16" w14:textId="77777777" w:rsidR="006A6371" w:rsidRDefault="006A6371">
      <w:r>
        <w:separator/>
      </w:r>
    </w:p>
  </w:endnote>
  <w:endnote w:type="continuationSeparator" w:id="0">
    <w:p w14:paraId="7F15DDBD" w14:textId="77777777" w:rsidR="006A6371" w:rsidRDefault="006A6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8C890" w14:textId="77777777" w:rsidR="00965DEB" w:rsidRDefault="001003CD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8F2FA34" w14:textId="77777777" w:rsidR="00965DEB" w:rsidRDefault="00965DE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C7347" w14:textId="77777777" w:rsidR="00965DEB" w:rsidRDefault="00965DEB">
    <w:pPr>
      <w:pStyle w:val="a7"/>
      <w:framePr w:wrap="around" w:vAnchor="text" w:hAnchor="margin" w:xAlign="right" w:y="1"/>
      <w:rPr>
        <w:rStyle w:val="ae"/>
      </w:rPr>
    </w:pPr>
  </w:p>
  <w:p w14:paraId="742F46BA" w14:textId="77777777" w:rsidR="00965DEB" w:rsidRDefault="00965DE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CE712" w14:textId="77777777" w:rsidR="00965DEB" w:rsidRDefault="00965DE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86ACF" w14:textId="77777777" w:rsidR="006A6371" w:rsidRDefault="006A6371">
      <w:r>
        <w:separator/>
      </w:r>
    </w:p>
  </w:footnote>
  <w:footnote w:type="continuationSeparator" w:id="0">
    <w:p w14:paraId="21039CCB" w14:textId="77777777" w:rsidR="006A6371" w:rsidRDefault="006A6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2087D" w14:textId="77777777" w:rsidR="00965DEB" w:rsidRDefault="00965DE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FFF80" w14:textId="77777777" w:rsidR="00965DEB" w:rsidRDefault="001003CD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A92BEEF" wp14:editId="6AB3CA9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E9F28" w14:textId="77777777" w:rsidR="00965DEB" w:rsidRDefault="00965D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03CD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297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637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5DEB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4560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4F2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49E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D47315"/>
    <w:rsid w:val="027E314A"/>
    <w:rsid w:val="0BBE04F8"/>
    <w:rsid w:val="0D2A4946"/>
    <w:rsid w:val="240572B4"/>
    <w:rsid w:val="3CBA4BCE"/>
    <w:rsid w:val="3E4C4AF3"/>
    <w:rsid w:val="41F05E18"/>
    <w:rsid w:val="50AC78FF"/>
    <w:rsid w:val="5E975E30"/>
    <w:rsid w:val="64EF53EA"/>
    <w:rsid w:val="6BEB3B17"/>
    <w:rsid w:val="6D1647BB"/>
    <w:rsid w:val="7577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F3CB16"/>
  <w15:docId w15:val="{EA7951ED-A482-B640-AA9F-92D72144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169</Words>
  <Characters>968</Characters>
  <Application>Microsoft Office Word</Application>
  <DocSecurity>0</DocSecurity>
  <Lines>8</Lines>
  <Paragraphs>2</Paragraphs>
  <ScaleCrop>false</ScaleCrop>
  <Company>WWW.YlmF.CoM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45</cp:revision>
  <cp:lastPrinted>2012-10-11T08:46:00Z</cp:lastPrinted>
  <dcterms:created xsi:type="dcterms:W3CDTF">2015-11-23T07:28:00Z</dcterms:created>
  <dcterms:modified xsi:type="dcterms:W3CDTF">2021-03-03T06:18:00Z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