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5543A09" w14:textId="7D73A0C1" w:rsidR="00155688" w:rsidRPr="00155688" w:rsidRDefault="00155688" w:rsidP="00155688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155688">
        <w:rPr>
          <w:rFonts w:ascii="微软雅黑" w:eastAsia="微软雅黑" w:hAnsi="微软雅黑" w:hint="eastAsia"/>
          <w:b/>
          <w:bCs/>
          <w:sz w:val="32"/>
          <w:szCs w:val="32"/>
        </w:rPr>
        <w:t>大数据驱动内容营销-李宁淘系平台站内营销项目</w:t>
      </w:r>
    </w:p>
    <w:p w14:paraId="6EEC2B1D" w14:textId="77777777" w:rsidR="00737EE7" w:rsidRDefault="00E87F8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155688">
        <w:rPr>
          <w:rFonts w:ascii="微软雅黑" w:eastAsia="微软雅黑" w:hAnsi="微软雅黑" w:hint="eastAsia"/>
          <w:sz w:val="21"/>
          <w:szCs w:val="21"/>
        </w:rPr>
        <w:t>李宁</w:t>
      </w:r>
    </w:p>
    <w:p w14:paraId="753EEFF1" w14:textId="77777777" w:rsidR="00737EE7" w:rsidRDefault="00E87F8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155688">
        <w:rPr>
          <w:rFonts w:ascii="微软雅黑" w:eastAsia="微软雅黑" w:hAnsi="微软雅黑" w:hint="eastAsia"/>
          <w:sz w:val="21"/>
          <w:szCs w:val="21"/>
        </w:rPr>
        <w:t>运动服饰</w:t>
      </w:r>
    </w:p>
    <w:p w14:paraId="0A87ECDC" w14:textId="28F5C8BD" w:rsidR="00737EE7" w:rsidRDefault="00E87F86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155688">
        <w:rPr>
          <w:rFonts w:ascii="微软雅黑" w:eastAsia="微软雅黑" w:hAnsi="微软雅黑" w:hint="eastAsia"/>
          <w:sz w:val="21"/>
          <w:szCs w:val="21"/>
        </w:rPr>
        <w:t>20</w:t>
      </w:r>
      <w:r w:rsidRPr="00155688">
        <w:rPr>
          <w:rFonts w:ascii="微软雅黑" w:eastAsia="微软雅黑" w:hAnsi="微软雅黑"/>
          <w:sz w:val="21"/>
          <w:szCs w:val="21"/>
        </w:rPr>
        <w:t>20</w:t>
      </w:r>
      <w:r w:rsidRPr="00155688">
        <w:rPr>
          <w:rFonts w:ascii="微软雅黑" w:eastAsia="微软雅黑" w:hAnsi="微软雅黑" w:hint="eastAsia"/>
          <w:sz w:val="21"/>
          <w:szCs w:val="21"/>
        </w:rPr>
        <w:t>.01-</w:t>
      </w:r>
      <w:r w:rsidRPr="00155688">
        <w:rPr>
          <w:rFonts w:ascii="微软雅黑" w:eastAsia="微软雅黑" w:hAnsi="微软雅黑"/>
          <w:sz w:val="21"/>
          <w:szCs w:val="21"/>
        </w:rPr>
        <w:t>0</w:t>
      </w:r>
      <w:r w:rsidRPr="00155688">
        <w:rPr>
          <w:rFonts w:ascii="微软雅黑" w:eastAsia="微软雅黑" w:hAnsi="微软雅黑" w:hint="eastAsia"/>
          <w:sz w:val="21"/>
          <w:szCs w:val="21"/>
        </w:rPr>
        <w:t>8</w:t>
      </w:r>
    </w:p>
    <w:p w14:paraId="6D0A1024" w14:textId="65438323" w:rsidR="00737EE7" w:rsidRDefault="00E87F86" w:rsidP="00155688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55688" w:rsidRPr="00155688">
        <w:rPr>
          <w:rFonts w:ascii="微软雅黑" w:eastAsia="微软雅黑" w:hAnsi="微软雅黑"/>
          <w:bCs/>
          <w:sz w:val="21"/>
          <w:szCs w:val="21"/>
        </w:rPr>
        <w:t>电商营销类</w:t>
      </w:r>
    </w:p>
    <w:p w14:paraId="24EE2EC1" w14:textId="429C1262" w:rsidR="00737EE7" w:rsidRPr="00155688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FCBB3EA" w14:textId="7879FF82" w:rsidR="00737EE7" w:rsidRPr="00155688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在耐克、阿迪霸占潮流运动休闲市场的今天，如何让一个国货品牌改变消费者的传统认知，把李宁塑造成为中国潮牌并影响消费者决策？——除了商业广告传播外，品牌更需要影响用户心智。</w:t>
      </w:r>
    </w:p>
    <w:p w14:paraId="3130EEF1" w14:textId="7B4C0A1F" w:rsidR="00737EE7" w:rsidRPr="00155688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1294D15" w14:textId="2F2D36AE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扩大李宁在淘系平台的品牌露出，提升店铺进店流量，同时增加销售额。</w:t>
      </w:r>
    </w:p>
    <w:p w14:paraId="3485C506" w14:textId="74978EF1" w:rsidR="00737EE7" w:rsidRPr="00155688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3BA41D9" w14:textId="2F76F7A2" w:rsidR="00737EE7" w:rsidRPr="00155688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基于淘宝</w:t>
      </w:r>
      <w:r w:rsidR="00CD3236">
        <w:rPr>
          <w:rFonts w:ascii="微软雅黑" w:eastAsia="微软雅黑" w:hAnsi="微软雅黑" w:hint="eastAsia"/>
          <w:sz w:val="21"/>
          <w:szCs w:val="21"/>
        </w:rPr>
        <w:t>平台</w:t>
      </w:r>
      <w:r>
        <w:rPr>
          <w:rFonts w:ascii="微软雅黑" w:eastAsia="微软雅黑" w:hAnsi="微软雅黑" w:hint="eastAsia"/>
          <w:sz w:val="21"/>
          <w:szCs w:val="21"/>
        </w:rPr>
        <w:t>提供了塑造品牌形象口碑的新渠道和销售流量的新入口，我们的解决方案是：淘系平台内容种草！利用自主研发的SRA数据分析系统，从大数据中洞察内容创意，让传播内容能更高效地触达消费者。对淘宝站内内容生态和达人生态进行数据分析，为品牌打造更适合的选品及内容布局及达人矩阵。</w:t>
      </w:r>
    </w:p>
    <w:p w14:paraId="194D9381" w14:textId="2879D58C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noProof/>
          <w:sz w:val="22"/>
        </w:rPr>
        <w:drawing>
          <wp:inline distT="0" distB="0" distL="114300" distR="114300" wp14:anchorId="012BD9C8" wp14:editId="0A4E8BED">
            <wp:extent cx="5716270" cy="3218815"/>
            <wp:effectExtent l="0" t="0" r="17780" b="63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40F6" w14:textId="65022536" w:rsidR="00737EE7" w:rsidRPr="00155688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A34A52F" w14:textId="1E5A8227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我们的种草方式是：数据分析+创意策略+优化投放的结合。</w:t>
      </w:r>
    </w:p>
    <w:p w14:paraId="426DD7E9" w14:textId="4041632B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【数据分析】 </w:t>
      </w:r>
      <w:r>
        <w:rPr>
          <w:rFonts w:ascii="微软雅黑" w:eastAsia="微软雅黑" w:hAnsi="微软雅黑" w:hint="eastAsia"/>
          <w:sz w:val="21"/>
          <w:szCs w:val="21"/>
        </w:rPr>
        <w:t>利用自主研发的SRA大数据系统分析淘内行业（竞品和品牌）内容投放现状、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kol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现状、用户兴趣内容，指导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kol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挑选和内容选品及标签布局</w:t>
      </w:r>
      <w:r w:rsidR="00FF598A">
        <w:rPr>
          <w:rFonts w:ascii="微软雅黑" w:eastAsia="微软雅黑" w:hAnsi="微软雅黑" w:hint="eastAsia"/>
          <w:sz w:val="21"/>
          <w:szCs w:val="21"/>
        </w:rPr>
        <w:t>。</w:t>
      </w:r>
    </w:p>
    <w:p w14:paraId="3CC3C716" w14:textId="5A20337D" w:rsidR="00737EE7" w:rsidRPr="00155688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noProof/>
          <w:sz w:val="22"/>
        </w:rPr>
        <w:drawing>
          <wp:inline distT="0" distB="0" distL="114300" distR="114300" wp14:anchorId="025ABFE7" wp14:editId="6E80BFFA">
            <wp:extent cx="5715000" cy="3215005"/>
            <wp:effectExtent l="0" t="0" r="0" b="4445"/>
            <wp:docPr id="1" name="图片 1" descr="Idigitalcase-李宁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digitalcase-李宁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E866" w14:textId="2786302E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【创意策略】 </w:t>
      </w:r>
      <w:r>
        <w:rPr>
          <w:rFonts w:ascii="微软雅黑" w:eastAsia="微软雅黑" w:hAnsi="微软雅黑" w:hint="eastAsia"/>
          <w:sz w:val="21"/>
          <w:szCs w:val="21"/>
        </w:rPr>
        <w:t>根据平台每个活动节点，匹配选品，策划不同的内容主题；根据每个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kol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的粉丝人群和推广产品，制定更匹配的投放高频词和图、文、视频等不同形式的内容</w:t>
      </w:r>
      <w:r w:rsidR="00FF598A">
        <w:rPr>
          <w:rFonts w:ascii="微软雅黑" w:eastAsia="微软雅黑" w:hAnsi="微软雅黑" w:hint="eastAsia"/>
          <w:sz w:val="21"/>
          <w:szCs w:val="21"/>
        </w:rPr>
        <w:t>。</w:t>
      </w:r>
    </w:p>
    <w:p w14:paraId="5D3D1F0F" w14:textId="3A9FA04E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C51D05E" wp14:editId="49B38DA0">
            <wp:extent cx="5715000" cy="3215005"/>
            <wp:effectExtent l="0" t="0" r="0" b="4445"/>
            <wp:docPr id="3" name="图片 3" descr="linin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ining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3ED4" w14:textId="61F31A18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【优化投放】 </w:t>
      </w:r>
      <w:r>
        <w:rPr>
          <w:rFonts w:ascii="微软雅黑" w:eastAsia="微软雅黑" w:hAnsi="微软雅黑" w:hint="eastAsia"/>
          <w:sz w:val="21"/>
          <w:szCs w:val="21"/>
        </w:rPr>
        <w:t>选择合适的达人及内容渠道，实时追踪品牌及竞品投放效果，根据投放表现，不断调整内容创意方向及优化品牌达人矩阵</w:t>
      </w:r>
      <w:r w:rsidR="00FF598A">
        <w:rPr>
          <w:rFonts w:ascii="微软雅黑" w:eastAsia="微软雅黑" w:hAnsi="微软雅黑" w:hint="eastAsia"/>
          <w:sz w:val="21"/>
          <w:szCs w:val="21"/>
        </w:rPr>
        <w:t>。</w:t>
      </w:r>
    </w:p>
    <w:p w14:paraId="39AC7B1C" w14:textId="54B83701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084D070C" wp14:editId="0E141B9F">
            <wp:extent cx="5715000" cy="3215005"/>
            <wp:effectExtent l="0" t="0" r="0" b="4445"/>
            <wp:docPr id="4" name="图片 4" descr="linin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ining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A5CB" w14:textId="3A23167A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在2020年1-8月期间，除了每月的常规内容种草，我们策划了1月的年货节、3月的春夏新风尚、4月的出游季、520表白季、618年中大促的创意内容种草：</w:t>
      </w:r>
    </w:p>
    <w:p w14:paraId="787D456B" w14:textId="77777777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1月年货节——新品鼠咬天开系列——鼠李风流，开辟新潮；</w:t>
      </w:r>
      <w:proofErr w:type="spellStart"/>
      <w:r>
        <w:rPr>
          <w:rFonts w:ascii="微软雅黑" w:eastAsia="微软雅黑" w:hAnsi="微软雅黑"/>
          <w:sz w:val="21"/>
          <w:szCs w:val="21"/>
        </w:rPr>
        <w:t>eazGO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系列：服软，我服李宁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eazGO</w:t>
      </w:r>
      <w:proofErr w:type="spellEnd"/>
    </w:p>
    <w:p w14:paraId="78DD108E" w14:textId="77777777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3月春夏新风尚——跑出新天地；超长待机后，重新开跑！</w:t>
      </w:r>
    </w:p>
    <w:p w14:paraId="53D10CFF" w14:textId="77777777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4月出游季——去拼，跳出舒适圈</w:t>
      </w:r>
    </w:p>
    <w:p w14:paraId="15EC84C1" w14:textId="77777777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520表白季——为爱跳动；与爱同型</w:t>
      </w:r>
    </w:p>
    <w:p w14:paraId="7AAFCF3C" w14:textId="6F221C7C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618年中大促——释放年轻原力</w:t>
      </w:r>
    </w:p>
    <w:p w14:paraId="45CE87DB" w14:textId="0AABBCE8" w:rsidR="00737EE7" w:rsidRPr="00155688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1B1F234" w14:textId="797ACD7F" w:rsidR="00737EE7" w:rsidRDefault="00E87F86" w:rsidP="001556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sz w:val="21"/>
          <w:szCs w:val="21"/>
        </w:rPr>
        <w:t>我们针对李宁“国潮”定位，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规划40个传播话题</w:t>
      </w:r>
      <w:r>
        <w:rPr>
          <w:rFonts w:ascii="微软雅黑" w:eastAsia="微软雅黑" w:hAnsi="微软雅黑" w:hint="eastAsia"/>
          <w:sz w:val="21"/>
          <w:szCs w:val="21"/>
        </w:rPr>
        <w:t>，撕裂李宁平价、土的购买体验，利用潮人穿搭、IP联名，塑造李宁“潮”“酷”的新形象，服务期内，针对4家店铺进行推广，投放覆盖整个购买链路，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总计带货417件，获得1240万阅读，18.6万进店流量，并成功引导近40万元成交额</w:t>
      </w:r>
      <w:r>
        <w:rPr>
          <w:rFonts w:ascii="微软雅黑" w:eastAsia="微软雅黑" w:hAnsi="微软雅黑" w:hint="eastAsia"/>
          <w:sz w:val="21"/>
          <w:szCs w:val="21"/>
        </w:rPr>
        <w:t>，远超初期拟定KPI。</w:t>
      </w:r>
    </w:p>
    <w:p w14:paraId="62A5947F" w14:textId="77777777" w:rsidR="00737EE7" w:rsidRDefault="00E87F86" w:rsidP="00155688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noProof/>
          <w:color w:val="FF0000"/>
          <w:sz w:val="20"/>
        </w:rPr>
        <w:lastRenderedPageBreak/>
        <w:drawing>
          <wp:inline distT="0" distB="0" distL="114300" distR="114300" wp14:anchorId="34746872" wp14:editId="70D7B467">
            <wp:extent cx="5720715" cy="3218815"/>
            <wp:effectExtent l="0" t="0" r="13335" b="63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3CDF" w14:textId="772A6A55" w:rsidR="00737EE7" w:rsidRDefault="00737EE7" w:rsidP="00155688">
      <w:pPr>
        <w:pStyle w:val="af1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737EE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6F616" w14:textId="77777777" w:rsidR="00040CE4" w:rsidRDefault="00040CE4">
      <w:r>
        <w:separator/>
      </w:r>
    </w:p>
  </w:endnote>
  <w:endnote w:type="continuationSeparator" w:id="0">
    <w:p w14:paraId="6FC65F7C" w14:textId="77777777" w:rsidR="00040CE4" w:rsidRDefault="00040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9FF5C" w14:textId="77777777" w:rsidR="00737EE7" w:rsidRDefault="00E87F86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0C63B7A" w14:textId="77777777" w:rsidR="00737EE7" w:rsidRDefault="00737EE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29E3B" w14:textId="77777777" w:rsidR="00737EE7" w:rsidRDefault="00737EE7">
    <w:pPr>
      <w:pStyle w:val="a7"/>
      <w:framePr w:wrap="around" w:vAnchor="text" w:hAnchor="margin" w:xAlign="right" w:y="1"/>
      <w:rPr>
        <w:rStyle w:val="ae"/>
      </w:rPr>
    </w:pPr>
  </w:p>
  <w:p w14:paraId="733CE12C" w14:textId="77777777" w:rsidR="00737EE7" w:rsidRDefault="00737EE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21BEF" w14:textId="77777777" w:rsidR="00737EE7" w:rsidRDefault="00737E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8355BB" w14:textId="77777777" w:rsidR="00040CE4" w:rsidRDefault="00040CE4">
      <w:r>
        <w:separator/>
      </w:r>
    </w:p>
  </w:footnote>
  <w:footnote w:type="continuationSeparator" w:id="0">
    <w:p w14:paraId="7F7523AD" w14:textId="77777777" w:rsidR="00040CE4" w:rsidRDefault="00040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C0D59" w14:textId="77777777" w:rsidR="00737EE7" w:rsidRDefault="00737EE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C80B0" w14:textId="77777777" w:rsidR="00737EE7" w:rsidRDefault="00E87F86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4A4D3AD" wp14:editId="1259481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DDBC7" w14:textId="77777777" w:rsidR="00737EE7" w:rsidRDefault="00737EE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0CE4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5688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37EE7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3236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87F86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598A"/>
    <w:rsid w:val="012C6BC3"/>
    <w:rsid w:val="02551BD8"/>
    <w:rsid w:val="066511AB"/>
    <w:rsid w:val="173F0238"/>
    <w:rsid w:val="24AA14AE"/>
    <w:rsid w:val="37EA5A81"/>
    <w:rsid w:val="496D13DE"/>
    <w:rsid w:val="4DDF350D"/>
    <w:rsid w:val="52213227"/>
    <w:rsid w:val="5F907275"/>
    <w:rsid w:val="7AF3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6CF0E6"/>
  <w15:docId w15:val="{EA7951ED-A482-B640-AA9F-92D721449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143</Words>
  <Characters>818</Characters>
  <Application>Microsoft Office Word</Application>
  <DocSecurity>0</DocSecurity>
  <Lines>6</Lines>
  <Paragraphs>1</Paragraphs>
  <ScaleCrop>false</ScaleCrop>
  <Company>WWW.YlmF.CoM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46</cp:revision>
  <cp:lastPrinted>2012-10-11T08:46:00Z</cp:lastPrinted>
  <dcterms:created xsi:type="dcterms:W3CDTF">2015-11-23T07:28:00Z</dcterms:created>
  <dcterms:modified xsi:type="dcterms:W3CDTF">2021-03-03T06:20:00Z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