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微软雅黑" w:hAnsi="微软雅黑" w:eastAsia="微软雅黑" w:cs="微软雅黑"/>
          <w:b/>
          <w:bCs/>
          <w:sz w:val="32"/>
          <w:szCs w:val="28"/>
          <w:lang w:val="en-US" w:eastAsia="zh-CN"/>
        </w:rPr>
      </w:pPr>
      <w:r>
        <w:rPr>
          <w:rFonts w:hint="eastAsia" w:ascii="微软雅黑" w:hAnsi="微软雅黑" w:eastAsia="微软雅黑" w:cs="微软雅黑"/>
          <w:b/>
          <w:bCs/>
          <w:sz w:val="32"/>
          <w:szCs w:val="28"/>
          <w:lang w:val="en-US" w:eastAsia="zh-CN"/>
        </w:rPr>
        <w:t>国家体育总局体育彩票管理中心</w:t>
      </w:r>
    </w:p>
    <w:p>
      <w:pPr>
        <w:rPr>
          <w:rFonts w:hint="eastAsia" w:ascii="微软雅黑" w:hAnsi="微软雅黑" w:eastAsia="微软雅黑"/>
          <w:b w:val="0"/>
          <w:bCs/>
          <w:color w:val="EAB300"/>
          <w:kern w:val="0"/>
          <w:sz w:val="32"/>
          <w:lang w:eastAsia="zh-CN"/>
        </w:rPr>
      </w:pPr>
      <w:r>
        <w:rPr>
          <w:rFonts w:hint="eastAsia" w:ascii="微软雅黑" w:hAnsi="微软雅黑" w:eastAsia="微软雅黑"/>
          <w:b/>
        </w:rPr>
        <w:t>所属行业：</w:t>
      </w:r>
      <w:r>
        <w:rPr>
          <w:rFonts w:hint="eastAsia" w:ascii="微软雅黑" w:hAnsi="微软雅黑" w:eastAsia="微软雅黑"/>
          <w:b w:val="0"/>
          <w:bCs/>
          <w:lang w:eastAsia="zh-CN"/>
        </w:rPr>
        <w:t>彩票业</w:t>
      </w:r>
    </w:p>
    <w:p>
      <w:pPr>
        <w:rPr>
          <w:rFonts w:ascii="微软雅黑" w:hAnsi="微软雅黑" w:eastAsia="微软雅黑"/>
          <w:color w:val="auto"/>
        </w:rPr>
      </w:pPr>
      <w:r>
        <w:rPr>
          <w:rFonts w:hint="eastAsia" w:ascii="微软雅黑" w:hAnsi="微软雅黑" w:eastAsia="微软雅黑"/>
          <w:b/>
        </w:rPr>
        <w:t>参选类别：</w:t>
      </w:r>
      <w:r>
        <w:rPr>
          <w:rFonts w:hint="eastAsia" w:ascii="微软雅黑" w:hAnsi="微软雅黑" w:eastAsia="微软雅黑"/>
          <w:color w:val="auto"/>
        </w:rPr>
        <w:t>数字营销最具影响力品牌</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品牌简介</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中国体育彩票是国家发行管理的公益彩票，多年来秉承“来之于民、用之于民”的发行宗旨，塑造“公益体彩、乐善人生”的品牌形象，并致力于建设负责任、可信赖、健康持续发展的国家公益彩票。品牌面向除未成年以外的所有人群，发展长期居于行业领先地位。近年来，中国体育彩票大力弘扬“责任、诚信、团结、创新”的精神，在游戏管理、队伍建设、社会服务等方面做出了巨大努力，以体彩公益金为重要组成部分的中央集中彩票公益金广泛用于社会保障、医疗卫生、教育助学、扶贫攻坚、赈灾救灾、文化发展等社会公益事业，同时持续打造出“公益体彩 快乐操场”、“新长城公益助学金”等品牌公益活动，已成为推动社会公益事业和体育事业发展的重要力量。</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20</w:t>
      </w:r>
      <w:r>
        <w:rPr>
          <w:rFonts w:ascii="微软雅黑" w:hAnsi="微软雅黑" w:eastAsia="微软雅黑"/>
          <w:b/>
          <w:color w:val="0000FF"/>
          <w:sz w:val="28"/>
          <w:szCs w:val="24"/>
        </w:rPr>
        <w:t>20</w:t>
      </w:r>
      <w:r>
        <w:rPr>
          <w:rFonts w:hint="eastAsia" w:ascii="微软雅黑" w:hAnsi="微软雅黑" w:eastAsia="微软雅黑"/>
          <w:b/>
          <w:color w:val="0000FF"/>
          <w:sz w:val="28"/>
          <w:szCs w:val="24"/>
        </w:rPr>
        <w:t>年数字营销影响力表现</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吸引</w:t>
      </w:r>
      <w:r>
        <w:rPr>
          <w:rFonts w:hint="eastAsia" w:ascii="微软雅黑" w:hAnsi="微软雅黑" w:eastAsia="微软雅黑" w:cs="微软雅黑"/>
          <w:lang w:val="en-US" w:eastAsia="zh-CN"/>
        </w:rPr>
        <w:t>包含</w:t>
      </w:r>
      <w:r>
        <w:rPr>
          <w:rFonts w:hint="eastAsia" w:ascii="微软雅黑" w:hAnsi="微软雅黑" w:eastAsia="微软雅黑" w:cs="微软雅黑"/>
        </w:rPr>
        <w:t>八大美院</w:t>
      </w:r>
      <w:r>
        <w:rPr>
          <w:rFonts w:hint="eastAsia" w:ascii="微软雅黑" w:hAnsi="微软雅黑" w:eastAsia="微软雅黑" w:cs="微软雅黑"/>
          <w:lang w:val="en-US" w:eastAsia="zh-CN"/>
        </w:rPr>
        <w:t>在内的</w:t>
      </w:r>
      <w:r>
        <w:rPr>
          <w:rFonts w:hint="eastAsia" w:ascii="微软雅黑" w:hAnsi="微软雅黑" w:eastAsia="微软雅黑" w:cs="微软雅黑"/>
        </w:rPr>
        <w:t>50余所设计专业高校</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站酷平台3174位专业设计师</w:t>
      </w:r>
      <w:r>
        <w:rPr>
          <w:rFonts w:hint="eastAsia" w:ascii="微软雅黑" w:hAnsi="微软雅黑" w:eastAsia="微软雅黑" w:cs="微软雅黑"/>
        </w:rPr>
        <w:t>参与，创造出符合品牌形象和年轻群体审美的体彩吉祥物。</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cs="微软雅黑"/>
          <w:lang w:eastAsia="zh-CN"/>
        </w:rPr>
      </w:pPr>
      <w:r>
        <w:rPr>
          <w:rFonts w:hint="eastAsia" w:ascii="微软雅黑" w:hAnsi="微软雅黑" w:eastAsia="微软雅黑" w:cs="微软雅黑"/>
          <w:lang w:val="en-US" w:eastAsia="zh-CN"/>
        </w:rPr>
        <w:t>2、吸引</w:t>
      </w:r>
      <w:r>
        <w:rPr>
          <w:rFonts w:hint="eastAsia" w:ascii="微软雅黑" w:hAnsi="微软雅黑" w:eastAsia="微软雅黑" w:cs="微软雅黑"/>
        </w:rPr>
        <w:t>超680万人次观看发布会，超30万人参与落地活动，权威平面媒体曝光量超400万，整体曝光量超20亿次，有效实现品牌破圈传播</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ascii="微软雅黑" w:hAnsi="微软雅黑" w:eastAsia="微软雅黑"/>
          <w:sz w:val="22"/>
        </w:rPr>
      </w:pPr>
      <w:r>
        <w:rPr>
          <w:rFonts w:hint="eastAsia" w:ascii="微软雅黑" w:hAnsi="微软雅黑" w:eastAsia="微软雅黑"/>
          <w:b/>
          <w:color w:val="0000FF"/>
          <w:sz w:val="28"/>
          <w:szCs w:val="24"/>
        </w:rPr>
        <w:t>代表案例</w:t>
      </w:r>
      <w:bookmarkStart w:id="0" w:name="_GoBack"/>
      <w:bookmarkEnd w:id="0"/>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cs="微软雅黑"/>
          <w:b/>
          <w:bCs/>
        </w:rPr>
      </w:pPr>
      <w:r>
        <w:rPr>
          <w:rFonts w:hint="eastAsia" w:ascii="微软雅黑" w:hAnsi="微软雅黑" w:eastAsia="微软雅黑" w:cs="微软雅黑"/>
          <w:b/>
          <w:bCs/>
          <w:lang w:eastAsia="zh-CN"/>
        </w:rPr>
        <w:t>案例名称：</w:t>
      </w:r>
      <w:r>
        <w:rPr>
          <w:rFonts w:hint="eastAsia" w:ascii="微软雅黑" w:hAnsi="微软雅黑" w:eastAsia="微软雅黑" w:cs="微软雅黑"/>
          <w:b/>
          <w:bCs/>
        </w:rPr>
        <w:t>中国体育彩票吉祥物征集活动及形象运用推广</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b/>
          <w:bCs/>
          <w:lang w:eastAsia="zh-CN"/>
        </w:rPr>
      </w:pPr>
      <w:r>
        <w:rPr>
          <w:rFonts w:hint="eastAsia" w:ascii="微软雅黑" w:hAnsi="微软雅黑" w:eastAsia="微软雅黑"/>
          <w:b/>
          <w:bCs/>
        </w:rPr>
        <w:t>策略核心</w:t>
      </w:r>
      <w:r>
        <w:rPr>
          <w:rFonts w:hint="eastAsia" w:ascii="微软雅黑" w:hAnsi="微软雅黑" w:eastAsia="微软雅黑"/>
          <w:b/>
          <w:bCs/>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left"/>
        <w:textAlignment w:val="baseline"/>
        <w:rPr>
          <w:rFonts w:hint="eastAsia" w:ascii="微软雅黑" w:hAnsi="微软雅黑" w:eastAsia="微软雅黑" w:cs="微软雅黑"/>
          <w:sz w:val="21"/>
          <w:szCs w:val="21"/>
        </w:rPr>
      </w:pPr>
      <w:r>
        <w:rPr>
          <w:rFonts w:hint="eastAsia" w:ascii="微软雅黑" w:hAnsi="微软雅黑" w:eastAsia="微软雅黑" w:cs="微软雅黑"/>
          <w:sz w:val="21"/>
          <w:szCs w:val="21"/>
        </w:rPr>
        <w:t>中国体育彩票于2020年4-11月开展吉祥物征集及形象应用推广活动。包括组织吉祥物征集、评审活动，成功</w:t>
      </w:r>
      <w:r>
        <w:rPr>
          <w:rFonts w:hint="eastAsia" w:ascii="微软雅黑" w:hAnsi="微软雅黑" w:eastAsia="微软雅黑" w:cs="微软雅黑"/>
          <w:sz w:val="21"/>
          <w:szCs w:val="21"/>
          <w:lang w:val="en-US" w:eastAsia="zh-CN"/>
        </w:rPr>
        <w:t>推出</w:t>
      </w:r>
      <w:r>
        <w:rPr>
          <w:rFonts w:hint="eastAsia" w:ascii="微软雅黑" w:hAnsi="微软雅黑" w:eastAsia="微软雅黑" w:cs="微软雅黑"/>
          <w:sz w:val="21"/>
          <w:szCs w:val="21"/>
        </w:rPr>
        <w:t>“乐小星”。</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乐小星”吉祥物是企业品牌形象、文化内涵的重要载体</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同时年轻群体已成为当今市场消费主力。据此项目定位于创造符合品牌形象、符合年轻群体审美的体彩吉祥物形象，并通过对吉祥物形象的应用推广，使其作为具象化的品牌形象载体，实现更有效的用户传播沟通，吸引以年轻人群为主的广泛社会群体的关注。</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center"/>
        <w:textAlignment w:val="baseline"/>
        <w:rPr>
          <w:rFonts w:hint="eastAsia" w:ascii="微软雅黑" w:hAnsi="微软雅黑" w:eastAsia="微软雅黑"/>
          <w:b/>
          <w:sz w:val="21"/>
          <w:szCs w:val="21"/>
          <w:lang w:eastAsia="zh-CN"/>
        </w:rPr>
      </w:pPr>
      <w:r>
        <w:rPr>
          <w:rFonts w:hint="eastAsia" w:ascii="微软雅黑" w:hAnsi="微软雅黑" w:eastAsia="微软雅黑"/>
          <w:b/>
          <w:sz w:val="21"/>
          <w:szCs w:val="21"/>
          <w:lang w:eastAsia="zh-CN"/>
        </w:rPr>
        <w:drawing>
          <wp:inline distT="0" distB="0" distL="114300" distR="114300">
            <wp:extent cx="3757295" cy="5066665"/>
            <wp:effectExtent l="0" t="0" r="1905" b="635"/>
            <wp:docPr id="5" name="图片 5" descr="体彩吉祥物乐小星海报RGB模式216X29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体彩吉祥物乐小星海报RGB模式216X291mm"/>
                    <pic:cNvPicPr>
                      <a:picLocks noChangeAspect="1"/>
                    </pic:cNvPicPr>
                  </pic:nvPicPr>
                  <pic:blipFill>
                    <a:blip r:embed="rId9"/>
                    <a:stretch>
                      <a:fillRect/>
                    </a:stretch>
                  </pic:blipFill>
                  <pic:spPr>
                    <a:xfrm>
                      <a:off x="0" y="0"/>
                      <a:ext cx="3757295" cy="5066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100" w:afterAutospacing="1"/>
        <w:jc w:val="center"/>
        <w:textAlignment w:val="baseline"/>
        <w:rPr>
          <w:rFonts w:hint="eastAsia" w:ascii="微软雅黑" w:hAnsi="微软雅黑" w:eastAsia="微软雅黑"/>
          <w:b/>
          <w:sz w:val="21"/>
          <w:szCs w:val="21"/>
        </w:rPr>
      </w:pPr>
      <w:r>
        <w:rPr>
          <w:rFonts w:hint="eastAsia" w:ascii="微软雅黑" w:hAnsi="微软雅黑" w:eastAsia="微软雅黑"/>
          <w:b/>
          <w:sz w:val="21"/>
          <w:szCs w:val="21"/>
        </w:rPr>
        <w:t>体彩吉祥物乐小星海报</w:t>
      </w:r>
    </w:p>
    <w:p>
      <w:pPr>
        <w:keepNext w:val="0"/>
        <w:keepLines w:val="0"/>
        <w:pageBreakBefore w:val="0"/>
        <w:widowControl w:val="0"/>
        <w:numPr>
          <w:ilvl w:val="0"/>
          <w:numId w:val="0"/>
        </w:numPr>
        <w:kinsoku/>
        <w:wordWrap/>
        <w:overflowPunct/>
        <w:topLinePunct w:val="0"/>
        <w:autoSpaceDE/>
        <w:autoSpaceDN/>
        <w:bidi w:val="0"/>
        <w:adjustRightInd/>
        <w:spacing w:before="100" w:beforeAutospacing="1" w:after="100" w:afterAutospacing="1" w:line="240" w:lineRule="auto"/>
        <w:ind w:leftChars="0"/>
        <w:rPr>
          <w:rFonts w:hint="eastAsia" w:ascii="微软雅黑" w:hAnsi="微软雅黑" w:eastAsia="微软雅黑" w:cs="微软雅黑"/>
          <w:b/>
          <w:bCs/>
          <w:sz w:val="21"/>
          <w:szCs w:val="21"/>
          <w:lang w:eastAsia="zh-CN"/>
        </w:rPr>
      </w:pPr>
      <w:r>
        <w:rPr>
          <w:rFonts w:hint="eastAsia" w:ascii="微软雅黑" w:hAnsi="微软雅黑" w:eastAsia="微软雅黑"/>
          <w:b/>
          <w:bCs/>
        </w:rPr>
        <w:t>执行亮点</w:t>
      </w:r>
      <w:r>
        <w:rPr>
          <w:rFonts w:hint="eastAsia" w:ascii="微软雅黑" w:hAnsi="微软雅黑" w:eastAsia="微软雅黑"/>
          <w:b/>
          <w:bCs/>
          <w:lang w:eastAsia="zh-CN"/>
        </w:rPr>
        <w:t>：</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结合多样化宣传方式、多平台矩阵推广、多阶段排浪式营销活动，形成互动传播声浪，触达</w:t>
      </w:r>
      <w:r>
        <w:rPr>
          <w:rFonts w:hint="eastAsia" w:ascii="微软雅黑" w:hAnsi="微软雅黑" w:eastAsia="微软雅黑" w:cs="微软雅黑"/>
          <w:sz w:val="21"/>
          <w:szCs w:val="21"/>
          <w:lang w:val="en-US" w:eastAsia="zh-CN"/>
        </w:rPr>
        <w:t>体彩</w:t>
      </w:r>
      <w:r>
        <w:rPr>
          <w:rFonts w:hint="eastAsia" w:ascii="微软雅黑" w:hAnsi="微软雅黑" w:eastAsia="微软雅黑" w:cs="微软雅黑"/>
          <w:sz w:val="21"/>
          <w:szCs w:val="21"/>
        </w:rPr>
        <w:t>公益</w:t>
      </w:r>
      <w:r>
        <w:rPr>
          <w:rFonts w:hint="eastAsia" w:ascii="微软雅黑" w:hAnsi="微软雅黑" w:eastAsia="微软雅黑" w:cs="微软雅黑"/>
          <w:sz w:val="21"/>
          <w:szCs w:val="21"/>
          <w:lang w:val="en-US" w:eastAsia="zh-CN"/>
        </w:rPr>
        <w:t>品牌</w:t>
      </w:r>
      <w:r>
        <w:rPr>
          <w:rFonts w:hint="eastAsia" w:ascii="微软雅黑" w:hAnsi="微软雅黑" w:eastAsia="微软雅黑" w:cs="微软雅黑"/>
          <w:sz w:val="21"/>
          <w:szCs w:val="21"/>
        </w:rPr>
        <w:t>内核，实现品牌形象破壁认和破圈传播，提升体彩品牌影响力。</w:t>
      </w:r>
    </w:p>
    <w:p>
      <w:pPr>
        <w:keepNext w:val="0"/>
        <w:keepLines w:val="0"/>
        <w:pageBreakBefore w:val="0"/>
        <w:widowControl w:val="0"/>
        <w:kinsoku/>
        <w:wordWrap/>
        <w:overflowPunct/>
        <w:topLinePunct w:val="0"/>
        <w:autoSpaceDE/>
        <w:autoSpaceDN/>
        <w:bidi w:val="0"/>
        <w:adjustRightInd/>
        <w:snapToGrid/>
        <w:spacing w:before="100" w:beforeAutospacing="1" w:afterAutospacing="0"/>
        <w:jc w:val="center"/>
        <w:textAlignment w:val="auto"/>
        <w:rPr>
          <w:rFonts w:hint="eastAsia" w:eastAsiaTheme="minorEastAsia"/>
          <w:lang w:eastAsia="zh-CN"/>
        </w:rPr>
      </w:pPr>
      <w:r>
        <w:rPr>
          <w:rFonts w:hint="eastAsia" w:eastAsiaTheme="minorEastAsia"/>
          <w:lang w:eastAsia="zh-CN"/>
        </w:rPr>
        <w:drawing>
          <wp:inline distT="0" distB="0" distL="114300" distR="114300">
            <wp:extent cx="3963035" cy="2179955"/>
            <wp:effectExtent l="0" t="0" r="12065" b="4445"/>
            <wp:docPr id="1" name="图片 1" descr="缩略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缩略图"/>
                    <pic:cNvPicPr>
                      <a:picLocks noChangeAspect="1"/>
                    </pic:cNvPicPr>
                  </pic:nvPicPr>
                  <pic:blipFill>
                    <a:blip r:embed="rId10"/>
                    <a:stretch>
                      <a:fillRect/>
                    </a:stretch>
                  </pic:blipFill>
                  <pic:spPr>
                    <a:xfrm>
                      <a:off x="0" y="0"/>
                      <a:ext cx="3963035" cy="21799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after="100" w:afterAutospacing="1"/>
        <w:jc w:val="center"/>
        <w:textAlignment w:val="baseline"/>
        <w:rPr>
          <w:rFonts w:hint="eastAsia" w:ascii="微软雅黑" w:hAnsi="微软雅黑" w:eastAsia="微软雅黑"/>
          <w:b w:val="0"/>
          <w:bCs/>
          <w:sz w:val="21"/>
          <w:szCs w:val="21"/>
          <w:lang w:eastAsia="zh-CN"/>
        </w:rPr>
      </w:pPr>
      <w:r>
        <w:rPr>
          <w:rFonts w:hint="eastAsia" w:ascii="微软雅黑" w:hAnsi="微软雅黑" w:eastAsia="微软雅黑"/>
          <w:b w:val="0"/>
          <w:bCs/>
          <w:sz w:val="21"/>
          <w:szCs w:val="21"/>
          <w:lang w:eastAsia="zh-CN"/>
        </w:rPr>
        <w:t>乐小星聚光而来海报</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sz w:val="21"/>
          <w:szCs w:val="21"/>
        </w:rPr>
      </w:pPr>
      <w:r>
        <w:rPr>
          <w:rFonts w:hint="eastAsia" w:ascii="微软雅黑" w:hAnsi="微软雅黑" w:eastAsia="微软雅黑"/>
          <w:b/>
          <w:sz w:val="21"/>
          <w:szCs w:val="21"/>
          <w:lang w:eastAsia="zh-CN"/>
        </w:rPr>
        <w:drawing>
          <wp:inline distT="0" distB="0" distL="114300" distR="114300">
            <wp:extent cx="5718175" cy="4057650"/>
            <wp:effectExtent l="0" t="0" r="9525" b="635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11"/>
                    <a:stretch>
                      <a:fillRect/>
                    </a:stretch>
                  </pic:blipFill>
                  <pic:spPr>
                    <a:xfrm>
                      <a:off x="0" y="0"/>
                      <a:ext cx="5718175" cy="40576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pacing w:before="100" w:beforeAutospacing="1" w:after="100" w:afterAutospacing="1" w:line="240" w:lineRule="auto"/>
        <w:ind w:leftChars="0"/>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营销效果：</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rPr>
      </w:pPr>
      <w:r>
        <w:rPr>
          <w:rFonts w:hint="eastAsia" w:ascii="微软雅黑" w:hAnsi="微软雅黑" w:eastAsia="微软雅黑" w:cs="微软雅黑"/>
        </w:rPr>
        <w:t>活动吸引</w:t>
      </w:r>
      <w:r>
        <w:rPr>
          <w:rFonts w:hint="eastAsia" w:ascii="微软雅黑" w:hAnsi="微软雅黑" w:eastAsia="微软雅黑" w:cs="微软雅黑"/>
          <w:lang w:val="en-US" w:eastAsia="zh-CN"/>
        </w:rPr>
        <w:t>包含</w:t>
      </w:r>
      <w:r>
        <w:rPr>
          <w:rFonts w:hint="eastAsia" w:ascii="微软雅黑" w:hAnsi="微软雅黑" w:eastAsia="微软雅黑" w:cs="微软雅黑"/>
        </w:rPr>
        <w:t>八大美院</w:t>
      </w:r>
      <w:r>
        <w:rPr>
          <w:rFonts w:hint="eastAsia" w:ascii="微软雅黑" w:hAnsi="微软雅黑" w:eastAsia="微软雅黑" w:cs="微软雅黑"/>
          <w:lang w:val="en-US" w:eastAsia="zh-CN"/>
        </w:rPr>
        <w:t>在内的</w:t>
      </w:r>
      <w:r>
        <w:rPr>
          <w:rFonts w:hint="eastAsia" w:ascii="微软雅黑" w:hAnsi="微软雅黑" w:eastAsia="微软雅黑" w:cs="微软雅黑"/>
        </w:rPr>
        <w:t>50余所设计专业高校</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站酷平台3174位专业设计师</w:t>
      </w:r>
      <w:r>
        <w:rPr>
          <w:rFonts w:hint="eastAsia" w:ascii="微软雅黑" w:hAnsi="微软雅黑" w:eastAsia="微软雅黑" w:cs="微软雅黑"/>
        </w:rPr>
        <w:t>参与，创造出符合品牌形象和年轻群体审美的体彩吉祥物。</w:t>
      </w:r>
    </w:p>
    <w:p>
      <w:pPr>
        <w:keepNext w:val="0"/>
        <w:keepLines w:val="0"/>
        <w:pageBreakBefore w:val="0"/>
        <w:widowControl w:val="0"/>
        <w:kinsoku/>
        <w:wordWrap/>
        <w:overflowPunct/>
        <w:topLinePunct w:val="0"/>
        <w:autoSpaceDE/>
        <w:autoSpaceDN/>
        <w:bidi w:val="0"/>
        <w:adjustRightInd/>
        <w:spacing w:before="100" w:beforeAutospacing="1" w:after="100" w:afterAutospacing="1" w:line="240" w:lineRule="auto"/>
        <w:rPr>
          <w:rFonts w:hint="eastAsia" w:ascii="微软雅黑" w:hAnsi="微软雅黑" w:eastAsia="微软雅黑" w:cs="微软雅黑"/>
        </w:rPr>
      </w:pPr>
      <w:r>
        <w:rPr>
          <w:rFonts w:hint="eastAsia" w:ascii="微软雅黑" w:hAnsi="微软雅黑" w:eastAsia="微软雅黑" w:cs="微软雅黑"/>
          <w:lang w:val="en-US" w:eastAsia="zh-CN"/>
        </w:rPr>
        <w:t>吸引</w:t>
      </w:r>
      <w:r>
        <w:rPr>
          <w:rFonts w:hint="eastAsia" w:ascii="微软雅黑" w:hAnsi="微软雅黑" w:eastAsia="微软雅黑" w:cs="微软雅黑"/>
        </w:rPr>
        <w:t>超680万人次观看发布会，超30万人参与落地活动，权威平面媒体曝光量超400万，整体曝光量超20亿次，有效实现品牌破圈传播。</w:t>
      </w:r>
    </w:p>
    <w:p>
      <w:pPr>
        <w:keepNext w:val="0"/>
        <w:keepLines w:val="0"/>
        <w:pageBreakBefore w:val="0"/>
        <w:widowControl w:val="0"/>
        <w:kinsoku/>
        <w:wordWrap/>
        <w:overflowPunct/>
        <w:topLinePunct w:val="0"/>
        <w:autoSpaceDE/>
        <w:autoSpaceDN/>
        <w:bidi w:val="0"/>
        <w:adjustRightInd/>
        <w:spacing w:before="100" w:beforeAutospacing="1" w:after="100" w:afterAutospacing="1"/>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eastAsia="zh-CN"/>
        </w:rPr>
        <w:t>体彩吉祥物项目总结视频：</w:t>
      </w:r>
      <w:r>
        <w:rPr>
          <w:rFonts w:hint="eastAsia" w:ascii="微软雅黑" w:hAnsi="微软雅黑" w:eastAsia="微软雅黑" w:cs="微软雅黑"/>
          <w:b w:val="0"/>
          <w:bCs w:val="0"/>
          <w:sz w:val="21"/>
          <w:szCs w:val="21"/>
        </w:rPr>
        <w:fldChar w:fldCharType="begin"/>
      </w:r>
      <w:r>
        <w:rPr>
          <w:rFonts w:hint="eastAsia" w:ascii="微软雅黑" w:hAnsi="微软雅黑" w:eastAsia="微软雅黑" w:cs="微软雅黑"/>
          <w:b w:val="0"/>
          <w:bCs w:val="0"/>
          <w:sz w:val="21"/>
          <w:szCs w:val="21"/>
        </w:rPr>
        <w:instrText xml:space="preserve"> HYPERLINK "https://v.qq.com/x/page/l321650a1qf.html" </w:instrText>
      </w:r>
      <w:r>
        <w:rPr>
          <w:rFonts w:hint="eastAsia" w:ascii="微软雅黑" w:hAnsi="微软雅黑" w:eastAsia="微软雅黑" w:cs="微软雅黑"/>
          <w:b w:val="0"/>
          <w:bCs w:val="0"/>
          <w:sz w:val="21"/>
          <w:szCs w:val="21"/>
        </w:rPr>
        <w:fldChar w:fldCharType="separate"/>
      </w:r>
      <w:r>
        <w:rPr>
          <w:rStyle w:val="16"/>
          <w:rFonts w:hint="eastAsia" w:ascii="微软雅黑" w:hAnsi="微软雅黑" w:eastAsia="微软雅黑" w:cs="微软雅黑"/>
          <w:b w:val="0"/>
          <w:bCs w:val="0"/>
          <w:sz w:val="21"/>
          <w:szCs w:val="21"/>
        </w:rPr>
        <w:t>https://v.qq.com/x/page/l321650a1qf.html</w:t>
      </w:r>
      <w:r>
        <w:rPr>
          <w:rFonts w:hint="eastAsia" w:ascii="微软雅黑" w:hAnsi="微软雅黑" w:eastAsia="微软雅黑" w:cs="微软雅黑"/>
          <w:b w:val="0"/>
          <w:bCs w:val="0"/>
          <w:sz w:val="21"/>
          <w:szCs w:val="21"/>
        </w:rPr>
        <w:fldChar w:fldCharType="end"/>
      </w:r>
    </w:p>
    <w:p>
      <w:pPr>
        <w:keepNext w:val="0"/>
        <w:keepLines w:val="0"/>
        <w:pageBreakBefore w:val="0"/>
        <w:widowControl w:val="0"/>
        <w:kinsoku/>
        <w:wordWrap/>
        <w:overflowPunct/>
        <w:topLinePunct w:val="0"/>
        <w:autoSpaceDE/>
        <w:autoSpaceDN/>
        <w:bidi w:val="0"/>
        <w:adjustRightInd/>
        <w:spacing w:before="100" w:beforeAutospacing="1" w:after="100" w:afterAutospacing="1"/>
        <w:jc w:val="left"/>
        <w:rPr>
          <w:rFonts w:ascii="微软雅黑" w:hAnsi="微软雅黑" w:eastAsia="微软雅黑"/>
          <w:b/>
          <w:szCs w:val="21"/>
        </w:rPr>
      </w:pPr>
      <w:r>
        <w:rPr>
          <w:rFonts w:hint="eastAsia" w:ascii="微软雅黑" w:hAnsi="微软雅黑" w:eastAsia="微软雅黑" w:cs="微软雅黑"/>
          <w:b w:val="0"/>
          <w:bCs w:val="0"/>
          <w:sz w:val="21"/>
          <w:szCs w:val="21"/>
          <w:lang w:eastAsia="zh-CN"/>
        </w:rPr>
        <w:t>体彩吉祥物动画完整片视频：</w:t>
      </w:r>
      <w:r>
        <w:rPr>
          <w:rFonts w:hint="eastAsia" w:ascii="微软雅黑" w:hAnsi="微软雅黑" w:eastAsia="微软雅黑" w:cs="微软雅黑"/>
          <w:b w:val="0"/>
          <w:bCs w:val="0"/>
          <w:sz w:val="21"/>
          <w:szCs w:val="21"/>
        </w:rPr>
        <w:fldChar w:fldCharType="begin"/>
      </w:r>
      <w:r>
        <w:rPr>
          <w:rFonts w:hint="eastAsia" w:ascii="微软雅黑" w:hAnsi="微软雅黑" w:eastAsia="微软雅黑" w:cs="微软雅黑"/>
          <w:b w:val="0"/>
          <w:bCs w:val="0"/>
          <w:sz w:val="21"/>
          <w:szCs w:val="21"/>
        </w:rPr>
        <w:instrText xml:space="preserve"> HYPERLINK "https://v.qq.com/x/page/e3215a1aw3c.html" </w:instrText>
      </w:r>
      <w:r>
        <w:rPr>
          <w:rFonts w:hint="eastAsia" w:ascii="微软雅黑" w:hAnsi="微软雅黑" w:eastAsia="微软雅黑" w:cs="微软雅黑"/>
          <w:b w:val="0"/>
          <w:bCs w:val="0"/>
          <w:sz w:val="21"/>
          <w:szCs w:val="21"/>
        </w:rPr>
        <w:fldChar w:fldCharType="separate"/>
      </w:r>
      <w:r>
        <w:rPr>
          <w:rStyle w:val="16"/>
          <w:rFonts w:hint="eastAsia" w:ascii="微软雅黑" w:hAnsi="微软雅黑" w:eastAsia="微软雅黑" w:cs="微软雅黑"/>
          <w:b w:val="0"/>
          <w:bCs w:val="0"/>
          <w:sz w:val="21"/>
          <w:szCs w:val="21"/>
        </w:rPr>
        <w:t>https://v.qq.com/x/page/e3215a1aw3c.html</w:t>
      </w:r>
      <w:r>
        <w:rPr>
          <w:rFonts w:hint="eastAsia" w:ascii="微软雅黑" w:hAnsi="微软雅黑" w:eastAsia="微软雅黑" w:cs="微软雅黑"/>
          <w:b w:val="0"/>
          <w:bCs w:val="0"/>
          <w:sz w:val="21"/>
          <w:szCs w:val="21"/>
        </w:rPr>
        <w:fldChar w:fldCharType="end"/>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 w:val="1014461A"/>
    <w:rsid w:val="10206D5F"/>
    <w:rsid w:val="19B80235"/>
    <w:rsid w:val="34AA7BF4"/>
    <w:rsid w:val="681238F4"/>
    <w:rsid w:val="70423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Date"/>
    <w:basedOn w:val="1"/>
    <w:next w:val="1"/>
    <w:link w:val="26"/>
    <w:semiHidden/>
    <w:unhideWhenUsed/>
    <w:qFormat/>
    <w:uiPriority w:val="99"/>
    <w:pPr>
      <w:ind w:left="100" w:leftChars="2500"/>
    </w:pPr>
  </w:style>
  <w:style w:type="paragraph" w:styleId="6">
    <w:name w:val="Balloon Text"/>
    <w:basedOn w:val="1"/>
    <w:link w:val="25"/>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10"/>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6"/>
    <w:semiHidden/>
    <w:qFormat/>
    <w:uiPriority w:val="99"/>
    <w:rPr>
      <w:kern w:val="2"/>
      <w:sz w:val="18"/>
      <w:szCs w:val="18"/>
    </w:rPr>
  </w:style>
  <w:style w:type="character" w:customStyle="1" w:styleId="26">
    <w:name w:val="日期 字符"/>
    <w:basedOn w:val="12"/>
    <w:link w:val="5"/>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A4D9A4-11F5-1D47-A64F-7FE4E5025D97}">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74</Words>
  <Characters>425</Characters>
  <Lines>3</Lines>
  <Paragraphs>1</Paragraphs>
  <TotalTime>2</TotalTime>
  <ScaleCrop>false</ScaleCrop>
  <LinksUpToDate>false</LinksUpToDate>
  <CharactersWithSpaces>498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2015-11-23T07:52:00Z</dcterms:created>
  <dc:creator>雨林木风</dc:creator>
  <cp:lastModifiedBy>ylb</cp:lastModifiedBy>
  <cp:lastPrinted>2013-11-12T01:54:00Z</cp:lastPrinted>
  <dcterms:modified xsi:type="dcterms:W3CDTF">2021-03-09T07:43:19Z</dcterms:modified>
  <dc:title>No</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