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bookmarkStart w:id="2" w:name="_GoBack"/>
      <w:bookmarkEnd w:id="2"/>
      <w:r>
        <w:rPr>
          <w:rFonts w:hint="eastAsia" w:ascii="微软雅黑" w:hAnsi="微软雅黑" w:eastAsia="微软雅黑"/>
          <w:b/>
          <w:sz w:val="32"/>
          <w:szCs w:val="32"/>
        </w:rPr>
        <w:t>《高效跨端整合，大促蓄水三重奏》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西门子家电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家电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2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020.09.14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-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11.11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数字媒体整合类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案例视频：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英文版结案视频：</w:t>
      </w:r>
      <w:r>
        <w:rPr>
          <w:rFonts w:ascii="微软雅黑" w:hAnsi="微软雅黑" w:eastAsia="微软雅黑"/>
          <w:sz w:val="21"/>
          <w:szCs w:val="21"/>
        </w:rPr>
        <w:fldChar w:fldCharType="begin"/>
      </w:r>
      <w:r>
        <w:rPr>
          <w:rFonts w:ascii="微软雅黑" w:hAnsi="微软雅黑" w:eastAsia="微软雅黑"/>
          <w:sz w:val="21"/>
          <w:szCs w:val="21"/>
        </w:rPr>
        <w:instrText xml:space="preserve"> HYPERLINK "https://v.qq.com/x/page/c3226nm9qcs.html" </w:instrText>
      </w:r>
      <w:r>
        <w:rPr>
          <w:rFonts w:ascii="微软雅黑" w:hAnsi="微软雅黑" w:eastAsia="微软雅黑"/>
          <w:sz w:val="21"/>
          <w:szCs w:val="21"/>
        </w:rP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</w:rPr>
        <w:t>https://v.qq.com/x/page/c3226nm9qcs.html</w:t>
      </w:r>
      <w:r>
        <w:rPr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中文版结案视频：</w:t>
      </w:r>
      <w:r>
        <w:rPr>
          <w:rFonts w:ascii="微软雅黑" w:hAnsi="微软雅黑" w:eastAsia="微软雅黑"/>
          <w:sz w:val="21"/>
          <w:szCs w:val="21"/>
        </w:rPr>
        <w:fldChar w:fldCharType="begin"/>
      </w:r>
      <w:r>
        <w:rPr>
          <w:rFonts w:ascii="微软雅黑" w:hAnsi="微软雅黑" w:eastAsia="微软雅黑"/>
          <w:sz w:val="21"/>
          <w:szCs w:val="21"/>
        </w:rPr>
        <w:instrText xml:space="preserve"> HYPERLINK "https://v.qq.com/x/page/a3226er7753.html" </w:instrText>
      </w:r>
      <w:r>
        <w:rPr>
          <w:rFonts w:ascii="微软雅黑" w:hAnsi="微软雅黑" w:eastAsia="微软雅黑"/>
          <w:sz w:val="21"/>
          <w:szCs w:val="21"/>
        </w:rP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</w:rPr>
        <w:t>https://v.qq.com/x/page/a3226er7753.html</w:t>
      </w:r>
      <w:r>
        <w:rPr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品牌洞察：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品牌媒介预算充足，但媒介渠道分布多且分散，站内站外各自为战。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痛点</w:t>
      </w:r>
      <w:r>
        <w:rPr>
          <w:rFonts w:ascii="微软雅黑" w:hAnsi="微软雅黑" w:eastAsia="微软雅黑"/>
          <w:sz w:val="21"/>
          <w:szCs w:val="21"/>
        </w:rPr>
        <w:t>1：站内外传播节奏与信息不统一，消费者品牌体验割裂。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痛点</w:t>
      </w:r>
      <w:r>
        <w:rPr>
          <w:rFonts w:ascii="微软雅黑" w:hAnsi="微软雅黑" w:eastAsia="微软雅黑"/>
          <w:sz w:val="21"/>
          <w:szCs w:val="21"/>
        </w:rPr>
        <w:t>2：站内外未实现真正的数据打通，品牌人群资产未能有效使用。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痛点3：效果广告与品牌广告未能无缝衔接，品效结合效率有待提升。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问题与挑战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Autospacing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1）如何高效获取流量？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疫情加剧行业竞争，双</w:t>
      </w:r>
      <w:r>
        <w:rPr>
          <w:rFonts w:ascii="微软雅黑" w:hAnsi="微软雅黑" w:eastAsia="微软雅黑"/>
          <w:sz w:val="21"/>
          <w:szCs w:val="21"/>
        </w:rPr>
        <w:t>11成品牌年度必争回血之战，流量获取成本增大。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Autospacing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2）如何精准锁住消费者？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平台大促时间延长+大家电人群决策周期长（48天*），人群蓄水难度加大。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0"/>
          <w:lang w:eastAsia="zh-CN"/>
        </w:rPr>
      </w:pPr>
      <w:r>
        <w:rPr>
          <w:rFonts w:hint="eastAsia" w:ascii="微软雅黑" w:hAnsi="微软雅黑" w:eastAsia="微软雅黑"/>
          <w:sz w:val="20"/>
        </w:rPr>
        <w:t>双</w:t>
      </w:r>
      <w:r>
        <w:rPr>
          <w:rFonts w:ascii="微软雅黑" w:hAnsi="微软雅黑" w:eastAsia="微软雅黑"/>
          <w:sz w:val="20"/>
        </w:rPr>
        <w:t>11营销目标</w:t>
      </w:r>
      <w:r>
        <w:rPr>
          <w:rFonts w:hint="eastAsia" w:ascii="微软雅黑" w:hAnsi="微软雅黑" w:eastAsia="微软雅黑"/>
          <w:sz w:val="20"/>
          <w:lang w:eastAsia="zh-CN"/>
        </w:rPr>
        <w:t>：</w:t>
      </w:r>
      <w:r>
        <w:rPr>
          <w:rFonts w:ascii="微软雅黑" w:hAnsi="微软雅黑" w:eastAsia="微软雅黑"/>
          <w:sz w:val="20"/>
        </w:rPr>
        <w:t>疫后突围——西门子家电年度回血之战</w:t>
      </w:r>
      <w:r>
        <w:rPr>
          <w:rFonts w:hint="eastAsia" w:ascii="微软雅黑" w:hAnsi="微软雅黑" w:eastAsia="微软雅黑"/>
          <w:sz w:val="20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0"/>
        </w:rPr>
      </w:pPr>
      <w:r>
        <w:rPr>
          <w:rFonts w:hint="eastAsia" w:ascii="微软雅黑" w:hAnsi="微软雅黑" w:eastAsia="微软雅黑"/>
          <w:b/>
          <w:sz w:val="20"/>
        </w:rPr>
        <w:t>目标</w:t>
      </w:r>
      <w:r>
        <w:rPr>
          <w:rFonts w:ascii="微软雅黑" w:hAnsi="微软雅黑" w:eastAsia="微软雅黑"/>
          <w:b/>
          <w:sz w:val="20"/>
        </w:rPr>
        <w:t>1：媒介提效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sz w:val="20"/>
          <w:lang w:eastAsia="zh-CN"/>
        </w:rPr>
      </w:pPr>
      <w:r>
        <w:rPr>
          <w:rFonts w:hint="eastAsia" w:ascii="微软雅黑" w:hAnsi="微软雅黑" w:eastAsia="微软雅黑"/>
          <w:sz w:val="20"/>
        </w:rPr>
        <w:t>媒介曝光触达率较日常提升</w:t>
      </w:r>
      <w:r>
        <w:rPr>
          <w:rFonts w:ascii="微软雅黑" w:hAnsi="微软雅黑" w:eastAsia="微软雅黑"/>
          <w:sz w:val="20"/>
        </w:rPr>
        <w:t>10%</w:t>
      </w:r>
      <w:r>
        <w:rPr>
          <w:rFonts w:hint="eastAsia" w:ascii="微软雅黑" w:hAnsi="微软雅黑" w:eastAsia="微软雅黑"/>
          <w:sz w:val="20"/>
          <w:lang w:eastAsia="zh-CN"/>
        </w:rPr>
        <w:t>；</w:t>
      </w:r>
      <w:r>
        <w:rPr>
          <w:rFonts w:ascii="微软雅黑" w:hAnsi="微软雅黑" w:eastAsia="微软雅黑"/>
          <w:sz w:val="20"/>
        </w:rPr>
        <w:t>ROI较今年618提升10%</w:t>
      </w:r>
      <w:r>
        <w:rPr>
          <w:rFonts w:hint="eastAsia" w:ascii="微软雅黑" w:hAnsi="微软雅黑" w:eastAsia="微软雅黑"/>
          <w:sz w:val="20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0"/>
        </w:rPr>
      </w:pPr>
      <w:r>
        <w:rPr>
          <w:rFonts w:hint="eastAsia" w:ascii="微软雅黑" w:hAnsi="微软雅黑" w:eastAsia="微软雅黑"/>
          <w:b/>
          <w:sz w:val="20"/>
        </w:rPr>
        <w:t>目标</w:t>
      </w:r>
      <w:r>
        <w:rPr>
          <w:rFonts w:ascii="微软雅黑" w:hAnsi="微软雅黑" w:eastAsia="微软雅黑"/>
          <w:b/>
          <w:sz w:val="20"/>
        </w:rPr>
        <w:t>2：销售提升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sz w:val="20"/>
          <w:lang w:eastAsia="zh-CN"/>
        </w:rPr>
      </w:pPr>
      <w:r>
        <w:rPr>
          <w:rFonts w:hint="eastAsia" w:ascii="微软雅黑" w:hAnsi="微软雅黑" w:eastAsia="微软雅黑"/>
          <w:sz w:val="20"/>
        </w:rPr>
        <w:t>双</w:t>
      </w:r>
      <w:r>
        <w:rPr>
          <w:rFonts w:ascii="微软雅黑" w:hAnsi="微软雅黑" w:eastAsia="微软雅黑"/>
          <w:sz w:val="20"/>
        </w:rPr>
        <w:t>11销售额较去年双11提升70%</w:t>
      </w:r>
      <w:r>
        <w:rPr>
          <w:rFonts w:hint="eastAsia" w:ascii="微软雅黑" w:hAnsi="微软雅黑" w:eastAsia="微软雅黑"/>
          <w:sz w:val="20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0"/>
        </w:rPr>
      </w:pPr>
      <w:r>
        <w:rPr>
          <w:rFonts w:hint="eastAsia" w:ascii="微软雅黑" w:hAnsi="微软雅黑" w:eastAsia="微软雅黑"/>
          <w:b/>
          <w:sz w:val="20"/>
        </w:rPr>
        <w:t>目标</w:t>
      </w:r>
      <w:r>
        <w:rPr>
          <w:rFonts w:ascii="微软雅黑" w:hAnsi="微软雅黑" w:eastAsia="微软雅黑"/>
          <w:b/>
          <w:sz w:val="20"/>
        </w:rPr>
        <w:t>3：人群资产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sz w:val="20"/>
          <w:lang w:eastAsia="zh-CN"/>
        </w:rPr>
      </w:pPr>
      <w:r>
        <w:rPr>
          <w:rFonts w:hint="eastAsia" w:ascii="微软雅黑" w:hAnsi="微软雅黑" w:eastAsia="微软雅黑"/>
          <w:sz w:val="20"/>
        </w:rPr>
        <w:t>品牌活跃消费者资产较去年双</w:t>
      </w:r>
      <w:r>
        <w:rPr>
          <w:rFonts w:ascii="微软雅黑" w:hAnsi="微软雅黑" w:eastAsia="微软雅黑"/>
          <w:sz w:val="20"/>
        </w:rPr>
        <w:t>11提升100%</w:t>
      </w:r>
      <w:r>
        <w:rPr>
          <w:rFonts w:hint="eastAsia" w:ascii="微软雅黑" w:hAnsi="微软雅黑" w:eastAsia="微软雅黑"/>
          <w:sz w:val="20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sz w:val="20"/>
          <w:lang w:val="en-US" w:eastAsia="zh-CN"/>
        </w:rPr>
      </w:pPr>
      <w:r>
        <w:rPr>
          <w:rFonts w:hint="eastAsia" w:ascii="微软雅黑" w:hAnsi="微软雅黑" w:eastAsia="微软雅黑"/>
          <w:b/>
          <w:sz w:val="20"/>
        </w:rPr>
        <w:t>西门子家电</w:t>
      </w:r>
      <w:r>
        <w:rPr>
          <w:rFonts w:ascii="微软雅黑" w:hAnsi="微软雅黑" w:eastAsia="微软雅黑"/>
          <w:b/>
          <w:sz w:val="20"/>
        </w:rPr>
        <w:t>大促蓄水三重奏</w:t>
      </w:r>
      <w:r>
        <w:rPr>
          <w:rFonts w:hint="eastAsia" w:ascii="微软雅黑" w:hAnsi="微软雅黑" w:eastAsia="微软雅黑"/>
          <w:b/>
          <w:sz w:val="20"/>
        </w:rPr>
        <w:t>：</w:t>
      </w:r>
      <w:r>
        <w:rPr>
          <w:rFonts w:hint="eastAsia" w:ascii="微软雅黑" w:hAnsi="微软雅黑" w:eastAsia="微软雅黑"/>
          <w:b w:val="0"/>
          <w:bCs/>
          <w:sz w:val="20"/>
        </w:rPr>
        <w:t>利用品销活动与媒介工具组合，实现从流量蓄水到数据层面的循环整合，从跨端整合到品效层面的精细运作。</w:t>
      </w:r>
      <w:r>
        <w:rPr>
          <w:rFonts w:hint="eastAsia" w:ascii="微软雅黑" w:hAnsi="微软雅黑" w:eastAsia="微软雅黑"/>
          <w:b w:val="0"/>
          <w:bCs/>
          <w:sz w:val="20"/>
          <w:lang w:val="en-US" w:eastAsia="zh-CN"/>
        </w:rPr>
        <w:t>通过品销活动+媒介组合+数据赋能，三位一体全域发力。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drawing>
          <wp:inline distT="0" distB="0" distL="0" distR="0">
            <wp:extent cx="5720715" cy="3218180"/>
            <wp:effectExtent l="0" t="0" r="698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t>P</w:t>
      </w:r>
      <w:r>
        <w:rPr>
          <w:rFonts w:hint="eastAsia" w:ascii="微软雅黑" w:hAnsi="微软雅黑" w:eastAsia="微软雅黑"/>
          <w:b/>
          <w:sz w:val="21"/>
          <w:szCs w:val="21"/>
        </w:rPr>
        <w:t>hase</w:t>
      </w:r>
      <w:r>
        <w:rPr>
          <w:rFonts w:ascii="微软雅黑" w:hAnsi="微软雅黑" w:eastAsia="微软雅黑"/>
          <w:b/>
          <w:sz w:val="21"/>
          <w:szCs w:val="21"/>
        </w:rPr>
        <w:t>1</w:t>
      </w: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/>
          <w:b/>
          <w:sz w:val="21"/>
          <w:szCs w:val="21"/>
        </w:rPr>
        <w:t>西门子家电“德系精工，一探究</w:t>
      </w:r>
      <w:r>
        <w:rPr>
          <w:rFonts w:ascii="微软雅黑" w:hAnsi="微软雅黑" w:eastAsia="微软雅黑"/>
          <w:b/>
          <w:sz w:val="21"/>
          <w:szCs w:val="21"/>
        </w:rPr>
        <w:t>’</w:t>
      </w:r>
      <w:r>
        <w:rPr>
          <w:rFonts w:hint="eastAsia" w:ascii="微软雅黑" w:hAnsi="微软雅黑" w:eastAsia="微软雅黑"/>
          <w:b/>
          <w:sz w:val="21"/>
          <w:szCs w:val="21"/>
        </w:rPr>
        <w:t>精</w:t>
      </w:r>
      <w:r>
        <w:rPr>
          <w:rFonts w:ascii="微软雅黑" w:hAnsi="微软雅黑" w:eastAsia="微软雅黑"/>
          <w:b/>
          <w:sz w:val="21"/>
          <w:szCs w:val="21"/>
        </w:rPr>
        <w:t>’</w:t>
      </w:r>
      <w:r>
        <w:rPr>
          <w:rFonts w:hint="eastAsia" w:ascii="微软雅黑" w:hAnsi="微软雅黑" w:eastAsia="微软雅黑"/>
          <w:b/>
          <w:sz w:val="21"/>
          <w:szCs w:val="21"/>
        </w:rPr>
        <w:t>”超品日——拉新蓄水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drawing>
          <wp:inline distT="0" distB="0" distL="0" distR="0">
            <wp:extent cx="5200015" cy="2925445"/>
            <wp:effectExtent l="0" t="0" r="698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 xml:space="preserve">① </w:t>
      </w:r>
      <w:r>
        <w:rPr>
          <w:rFonts w:hint="eastAsia" w:ascii="微软雅黑" w:hAnsi="微软雅黑" w:eastAsia="微软雅黑"/>
          <w:b/>
          <w:szCs w:val="21"/>
        </w:rPr>
        <w:t>明星资源应用：</w:t>
      </w:r>
      <w:r>
        <w:rPr>
          <w:rFonts w:hint="eastAsia" w:ascii="微软雅黑" w:hAnsi="微软雅黑" w:eastAsia="微软雅黑"/>
          <w:szCs w:val="21"/>
        </w:rPr>
        <w:t>超品日明星井柏然悬疑视频</w:t>
      </w:r>
      <w:r>
        <w:rPr>
          <w:rFonts w:ascii="微软雅黑" w:hAnsi="微软雅黑" w:eastAsia="微软雅黑"/>
          <w:szCs w:val="21"/>
        </w:rPr>
        <w:t>7连更，带动超品期间品牌圈粉与会员吸纳，井柏然悬疑新作引爆社交媒体，总曝光量3.7亿。新增粉丝近60万，同比增长57倍，新增会员8万，同比增长10倍。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32181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 xml:space="preserve">② </w:t>
      </w:r>
      <w:r>
        <w:rPr>
          <w:rFonts w:hint="eastAsia" w:ascii="微软雅黑" w:hAnsi="微软雅黑" w:eastAsia="微软雅黑"/>
          <w:b/>
          <w:szCs w:val="21"/>
        </w:rPr>
        <w:t>跨界体验打造：</w:t>
      </w:r>
      <w:r>
        <w:rPr>
          <w:rFonts w:hint="eastAsia" w:ascii="微软雅黑" w:hAnsi="微软雅黑" w:eastAsia="微软雅黑"/>
          <w:szCs w:val="21"/>
        </w:rPr>
        <w:t>超级发布会线下网红体验店落地，打造跨界新潮高精体验。线上与</w:t>
      </w:r>
      <w:r>
        <w:rPr>
          <w:rFonts w:ascii="微软雅黑" w:hAnsi="微软雅黑" w:eastAsia="微软雅黑"/>
          <w:szCs w:val="21"/>
        </w:rPr>
        <w:t>虎扑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ascii="微软雅黑" w:hAnsi="微软雅黑" w:eastAsia="微软雅黑"/>
          <w:szCs w:val="21"/>
        </w:rPr>
        <w:t xml:space="preserve">ELLE </w:t>
      </w:r>
      <w:r>
        <w:rPr>
          <w:rFonts w:hint="eastAsia" w:ascii="微软雅黑" w:hAnsi="微软雅黑" w:eastAsia="微软雅黑"/>
          <w:szCs w:val="21"/>
        </w:rPr>
        <w:t>等深度跨界内容种草。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32181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 xml:space="preserve">③ </w:t>
      </w:r>
      <w:r>
        <w:rPr>
          <w:rFonts w:hint="eastAsia" w:ascii="微软雅黑" w:hAnsi="微软雅黑" w:eastAsia="微软雅黑"/>
          <w:b/>
          <w:szCs w:val="21"/>
        </w:rPr>
        <w:t>品牌直播日引爆：</w:t>
      </w:r>
      <w:r>
        <w:rPr>
          <w:rFonts w:hint="eastAsia" w:ascii="微软雅黑" w:hAnsi="微软雅黑" w:eastAsia="微软雅黑"/>
          <w:szCs w:val="21"/>
        </w:rPr>
        <w:t>品牌总裁与明星精工神探（井柏然）同台，探索德系精工生活的奥秘。基于精工生活方式的认同，将明星粉丝转化为品牌粉丝。观看量</w:t>
      </w:r>
      <w:r>
        <w:rPr>
          <w:rFonts w:ascii="微软雅黑" w:hAnsi="微软雅黑" w:eastAsia="微软雅黑"/>
          <w:szCs w:val="21"/>
        </w:rPr>
        <w:t>300万+，互动量600万+，创品牌与大电行业历史新高，稳居品牌大电直播总榜TOP1。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32181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 xml:space="preserve">④ </w:t>
      </w:r>
      <w:r>
        <w:rPr>
          <w:rFonts w:hint="eastAsia" w:ascii="微软雅黑" w:hAnsi="微软雅黑" w:eastAsia="微软雅黑"/>
          <w:b/>
          <w:szCs w:val="21"/>
        </w:rPr>
        <w:t>全域投放巨量曝光：</w:t>
      </w:r>
      <w:r>
        <w:rPr>
          <w:rFonts w:ascii="微软雅黑" w:hAnsi="微软雅黑" w:eastAsia="微软雅黑"/>
          <w:szCs w:val="21"/>
        </w:rPr>
        <w:t>UD开屏+UD信息流+家庭全域星+品牌特秀，巨量曝光定向触达潜在顾客。站内站外投放全链路打通，资源高效利用，总曝光2.2亿，总点击500万，CTR远超行业水平。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360" w:firstLine="0"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720715" cy="3218180"/>
            <wp:effectExtent l="0" t="0" r="698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 xml:space="preserve">⑤ </w:t>
      </w:r>
      <w:r>
        <w:rPr>
          <w:rFonts w:ascii="微软雅黑" w:hAnsi="微软雅黑" w:eastAsia="微软雅黑"/>
          <w:b/>
          <w:sz w:val="21"/>
          <w:szCs w:val="21"/>
        </w:rPr>
        <w:t>为品牌</w:t>
      </w:r>
      <w:r>
        <w:rPr>
          <w:rFonts w:hint="eastAsia" w:ascii="微软雅黑" w:hAnsi="微软雅黑" w:eastAsia="微软雅黑"/>
          <w:b/>
          <w:sz w:val="21"/>
          <w:szCs w:val="21"/>
        </w:rPr>
        <w:t>双11</w:t>
      </w:r>
      <w:r>
        <w:rPr>
          <w:rFonts w:ascii="微软雅黑" w:hAnsi="微软雅黑" w:eastAsia="微软雅黑"/>
          <w:b/>
          <w:sz w:val="21"/>
          <w:szCs w:val="21"/>
        </w:rPr>
        <w:t>前站储备新客群</w:t>
      </w:r>
      <w:r>
        <w:rPr>
          <w:rFonts w:hint="eastAsia" w:ascii="微软雅黑" w:hAnsi="微软雅黑" w:eastAsia="微软雅黑"/>
          <w:b/>
          <w:sz w:val="21"/>
          <w:szCs w:val="21"/>
        </w:rPr>
        <w:t>：</w:t>
      </w:r>
      <w:r>
        <w:rPr>
          <w:rFonts w:ascii="微软雅黑" w:hAnsi="微软雅黑" w:eastAsia="微软雅黑"/>
          <w:sz w:val="21"/>
          <w:szCs w:val="21"/>
        </w:rPr>
        <w:t>总AIPL人群增量高达6300万，AI人群增量是去年双11的1.5倍。阿里全域环绕式声量矩阵+全链路霸屏传播，为品牌双11强势蓄水。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t>P</w:t>
      </w:r>
      <w:r>
        <w:rPr>
          <w:rFonts w:hint="eastAsia" w:ascii="微软雅黑" w:hAnsi="微软雅黑" w:eastAsia="微软雅黑"/>
          <w:b/>
          <w:sz w:val="21"/>
          <w:szCs w:val="21"/>
        </w:rPr>
        <w:t>hase</w:t>
      </w:r>
      <w:r>
        <w:rPr>
          <w:rFonts w:ascii="微软雅黑" w:hAnsi="微软雅黑" w:eastAsia="微软雅黑"/>
          <w:b/>
          <w:sz w:val="21"/>
          <w:szCs w:val="21"/>
        </w:rPr>
        <w:t>2</w:t>
      </w: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/>
          <w:b/>
          <w:sz w:val="21"/>
          <w:szCs w:val="21"/>
        </w:rPr>
        <w:t>双11开门红跨端资源整合——提效留客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 xml:space="preserve">① </w:t>
      </w:r>
      <w:r>
        <w:rPr>
          <w:rFonts w:hint="eastAsia" w:ascii="微软雅黑" w:hAnsi="微软雅黑" w:eastAsia="微软雅黑"/>
          <w:szCs w:val="21"/>
        </w:rPr>
        <w:t>制定西门子家电媒介双</w:t>
      </w:r>
      <w:r>
        <w:rPr>
          <w:rFonts w:ascii="微软雅黑" w:hAnsi="微软雅黑" w:eastAsia="微软雅黑"/>
          <w:szCs w:val="21"/>
        </w:rPr>
        <w:t>11三环布局</w:t>
      </w:r>
      <w:r>
        <w:rPr>
          <w:rFonts w:hint="eastAsia" w:ascii="微软雅黑" w:hAnsi="微软雅黑" w:eastAsia="微软雅黑"/>
          <w:szCs w:val="21"/>
        </w:rPr>
        <w:t>，整体盘点双11跨端营销资源与触达链路。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3218180"/>
            <wp:effectExtent l="0" t="0" r="698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 xml:space="preserve">② </w:t>
      </w:r>
      <w:r>
        <w:rPr>
          <w:rFonts w:hint="eastAsia" w:ascii="微软雅黑" w:hAnsi="微软雅黑" w:eastAsia="微软雅黑"/>
          <w:szCs w:val="21"/>
        </w:rPr>
        <w:t>输出双11媒介落地规划，</w:t>
      </w:r>
      <w:r>
        <w:rPr>
          <w:rFonts w:ascii="微软雅黑" w:hAnsi="微软雅黑" w:eastAsia="微软雅黑"/>
          <w:szCs w:val="21"/>
        </w:rPr>
        <w:t>序列化投放高效运用站内外媒体组合，推动消费者进化链路</w:t>
      </w:r>
      <w:r>
        <w:rPr>
          <w:rFonts w:hint="eastAsia" w:ascii="微软雅黑" w:hAnsi="微软雅黑" w:eastAsia="微软雅黑"/>
          <w:szCs w:val="21"/>
        </w:rPr>
        <w:t>，品牌广告</w:t>
      </w:r>
      <w:r>
        <w:rPr>
          <w:rFonts w:ascii="微软雅黑" w:hAnsi="微软雅黑" w:eastAsia="微软雅黑"/>
          <w:szCs w:val="21"/>
        </w:rPr>
        <w:t>+RTB广告，品效结合蓄水效果“1+1&gt;2”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720715" cy="3218180"/>
            <wp:effectExtent l="0" t="0" r="698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 xml:space="preserve">③ </w:t>
      </w:r>
      <w:r>
        <w:rPr>
          <w:rFonts w:hint="eastAsia" w:ascii="微软雅黑" w:hAnsi="微软雅黑" w:eastAsia="微软雅黑"/>
          <w:b/>
          <w:bCs/>
          <w:szCs w:val="21"/>
        </w:rPr>
        <w:t>超品人群分层深挖：</w:t>
      </w:r>
      <w:r>
        <w:rPr>
          <w:rFonts w:hint="eastAsia" w:ascii="微软雅黑" w:hAnsi="微软雅黑" w:eastAsia="微软雅黑"/>
          <w:szCs w:val="21"/>
        </w:rPr>
        <w:t>将超品引入人群从装修偏好、购买力以及与品牌交互深度三个维度的深浅不同进行重新圈选搭配，人群双</w:t>
      </w:r>
      <w:r>
        <w:rPr>
          <w:rFonts w:ascii="微软雅黑" w:hAnsi="微软雅黑" w:eastAsia="微软雅黑"/>
          <w:szCs w:val="21"/>
        </w:rPr>
        <w:t>11转化率表现优异。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360" w:firstLine="0" w:firstLineChars="0"/>
        <w:jc w:val="center"/>
        <w:rPr>
          <w:rFonts w:ascii="微软雅黑" w:hAnsi="微软雅黑" w:eastAsia="微软雅黑"/>
          <w:sz w:val="20"/>
        </w:rPr>
      </w:pPr>
      <w:r>
        <w:rPr>
          <w:rFonts w:hint="eastAsia" w:ascii="微软雅黑" w:hAnsi="微软雅黑" w:eastAsia="微软雅黑"/>
          <w:sz w:val="20"/>
        </w:rPr>
        <w:drawing>
          <wp:inline distT="0" distB="0" distL="0" distR="0">
            <wp:extent cx="5851525" cy="3292475"/>
            <wp:effectExtent l="0" t="0" r="317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jc w:val="left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Cs w:val="21"/>
          <w:lang w:val="en-US" w:eastAsia="zh-CN"/>
        </w:rPr>
        <w:t xml:space="preserve">④ 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</w:rPr>
        <w:t>行业高潜人群挖掘</w:t>
      </w:r>
      <w:r>
        <w:rPr>
          <w:rFonts w:ascii="微软雅黑" w:hAnsi="微软雅黑" w:eastAsia="微软雅黑"/>
          <w:b/>
          <w:bCs/>
          <w:color w:val="000000" w:themeColor="text1"/>
          <w:szCs w:val="21"/>
        </w:rPr>
        <w:t>：</w:t>
      </w:r>
      <w:r>
        <w:rPr>
          <w:rFonts w:ascii="微软雅黑" w:hAnsi="微软雅黑" w:eastAsia="微软雅黑"/>
          <w:color w:val="000000" w:themeColor="text1"/>
          <w:szCs w:val="21"/>
        </w:rPr>
        <w:t>前置链路跨类目人群，站内站外强势触达</w:t>
      </w:r>
      <w:r>
        <w:rPr>
          <w:rFonts w:hint="eastAsia" w:ascii="微软雅黑" w:hAnsi="微软雅黑" w:eastAsia="微软雅黑"/>
          <w:color w:val="000000" w:themeColor="text1"/>
          <w:szCs w:val="21"/>
        </w:rPr>
        <w:t>；</w:t>
      </w:r>
      <w:r>
        <w:rPr>
          <w:rFonts w:ascii="微软雅黑" w:hAnsi="微软雅黑" w:eastAsia="微软雅黑"/>
          <w:color w:val="000000" w:themeColor="text1"/>
          <w:szCs w:val="21"/>
        </w:rPr>
        <w:t>竞品人群拦截，有效转化竞品潜客人群。</w:t>
      </w:r>
      <w:r>
        <w:rPr>
          <w:rFonts w:hint="eastAsia" w:ascii="微软雅黑" w:hAnsi="微软雅黑" w:eastAsia="微软雅黑"/>
          <w:color w:val="000000" w:themeColor="text1"/>
          <w:szCs w:val="21"/>
        </w:rPr>
        <w:t>人群包表现效果优异，</w:t>
      </w:r>
      <w:r>
        <w:rPr>
          <w:rFonts w:ascii="微软雅黑" w:hAnsi="微软雅黑" w:eastAsia="微软雅黑"/>
          <w:color w:val="000000" w:themeColor="text1"/>
          <w:szCs w:val="21"/>
        </w:rPr>
        <w:t>超过benchmark。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jc w:val="center"/>
        <w:textAlignment w:val="auto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hint="eastAsia"/>
        </w:rPr>
        <w:drawing>
          <wp:inline distT="0" distB="0" distL="0" distR="0">
            <wp:extent cx="5745480" cy="3232785"/>
            <wp:effectExtent l="0" t="0" r="762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438140" cy="3059430"/>
            <wp:effectExtent l="0" t="0" r="1016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lang w:val="en-US" w:eastAsia="zh-CN"/>
        </w:rPr>
        <w:t xml:space="preserve">⑤ 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</w:rPr>
        <w:t>媒介创意优化：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创意素材元素分解，测试用户点击偏好。从背景、布局、利益点、画面内容等多元素进行组合，根据双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11整体节奏实时测试创意素材，最大化点击率，在CPD模式下以降低CPC来获得高额回报。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</w:rPr>
        <w:drawing>
          <wp:inline distT="0" distB="0" distL="0" distR="0">
            <wp:extent cx="5720715" cy="2964180"/>
            <wp:effectExtent l="0" t="0" r="698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9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00" w:themeColor="text1"/>
          <w:sz w:val="21"/>
          <w:szCs w:val="21"/>
        </w:rPr>
      </w:pPr>
      <w:r>
        <w:rPr>
          <w:rFonts w:ascii="微软雅黑" w:hAnsi="微软雅黑" w:eastAsia="微软雅黑"/>
          <w:b/>
          <w:color w:val="000000" w:themeColor="text1"/>
          <w:sz w:val="21"/>
          <w:szCs w:val="21"/>
        </w:rPr>
        <w:t>P</w:t>
      </w:r>
      <w:r>
        <w:rPr>
          <w:rFonts w:hint="eastAsia" w:ascii="微软雅黑" w:hAnsi="微软雅黑" w:eastAsia="微软雅黑"/>
          <w:b/>
          <w:color w:val="000000" w:themeColor="text1"/>
          <w:sz w:val="21"/>
          <w:szCs w:val="21"/>
        </w:rPr>
        <w:t>hase</w:t>
      </w:r>
      <w:r>
        <w:rPr>
          <w:rFonts w:ascii="微软雅黑" w:hAnsi="微软雅黑" w:eastAsia="微软雅黑"/>
          <w:b/>
          <w:color w:val="000000" w:themeColor="text1"/>
          <w:sz w:val="21"/>
          <w:szCs w:val="21"/>
        </w:rPr>
        <w:t xml:space="preserve"> 3</w:t>
      </w:r>
      <w:r>
        <w:rPr>
          <w:rFonts w:hint="eastAsia" w:ascii="微软雅黑" w:hAnsi="微软雅黑" w:eastAsia="微软雅黑"/>
          <w:b/>
          <w:color w:val="000000" w:themeColor="text1"/>
          <w:sz w:val="21"/>
          <w:szCs w:val="21"/>
        </w:rPr>
        <w:t>：双11终极爆发——锚定引爆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Cs w:val="21"/>
          <w:lang w:val="en-US" w:eastAsia="zh-CN"/>
        </w:rPr>
        <w:t xml:space="preserve">① 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</w:rPr>
        <w:t>沟通策略调整：</w:t>
      </w:r>
      <w:r>
        <w:rPr>
          <w:rFonts w:hint="eastAsia" w:ascii="微软雅黑" w:hAnsi="微软雅黑" w:eastAsia="微软雅黑"/>
          <w:color w:val="000000" w:themeColor="text1"/>
          <w:szCs w:val="21"/>
        </w:rPr>
        <w:t>基于第一波投放效果，从人、货、沟通素材进行实时优化。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Cs w:val="21"/>
        </w:rPr>
        <w:drawing>
          <wp:inline distT="0" distB="0" distL="0" distR="0">
            <wp:extent cx="5720715" cy="321818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Cs w:val="21"/>
          <w:lang w:val="en-US" w:eastAsia="zh-CN"/>
        </w:rPr>
        <w:t xml:space="preserve">② 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</w:rPr>
        <w:t>第一波人群再应用：</w:t>
      </w:r>
      <w:r>
        <w:rPr>
          <w:rFonts w:hint="eastAsia" w:ascii="微软雅黑" w:hAnsi="微软雅黑" w:eastAsia="微软雅黑"/>
          <w:color w:val="000000" w:themeColor="text1"/>
          <w:szCs w:val="21"/>
        </w:rPr>
        <w:t>针对大促偏好</w:t>
      </w:r>
      <w:r>
        <w:rPr>
          <w:rFonts w:ascii="微软雅黑" w:hAnsi="微软雅黑" w:eastAsia="微软雅黑"/>
          <w:color w:val="000000" w:themeColor="text1"/>
          <w:szCs w:val="21"/>
        </w:rPr>
        <w:t>/犹豫期人群/直播偏好人群二次触达，最大化人群价值。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Cs w:val="21"/>
        </w:rPr>
        <w:drawing>
          <wp:inline distT="0" distB="0" distL="0" distR="0">
            <wp:extent cx="5720715" cy="321818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bCs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lang w:val="en-US" w:eastAsia="zh-CN"/>
        </w:rPr>
        <w:t xml:space="preserve">③ 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</w:rPr>
        <w:t>内容与媒介深度结合，助力品牌高效触达消费者。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drawing>
          <wp:inline distT="0" distB="0" distL="0" distR="0">
            <wp:extent cx="5720715" cy="3218180"/>
            <wp:effectExtent l="0" t="0" r="6985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lang w:val="en-US" w:eastAsia="zh-CN"/>
        </w:rPr>
        <w:t xml:space="preserve">④ 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</w:rPr>
        <w:t>媒介实时优化：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 xml:space="preserve"> Mar-tech工具——云辨直通车，助力品牌低价引流。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drawing>
          <wp:inline distT="0" distB="0" distL="0" distR="0">
            <wp:extent cx="5720715" cy="321818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 w:val="21"/>
          <w:szCs w:val="21"/>
        </w:rPr>
      </w:pPr>
      <w:bookmarkStart w:id="0" w:name="OLE_LINK22"/>
      <w:bookmarkStart w:id="1" w:name="OLE_LINK23"/>
      <w:r>
        <w:rPr>
          <w:rFonts w:hint="eastAsia" w:ascii="微软雅黑" w:hAnsi="微软雅黑" w:eastAsia="微软雅黑"/>
          <w:b/>
          <w:color w:val="000000" w:themeColor="text1"/>
          <w:sz w:val="21"/>
          <w:szCs w:val="21"/>
        </w:rPr>
        <w:t>1）媒介提效：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双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11媒介曝光触达率高达96%，较日常提升15%，ROI较618提升15%。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ascii="微软雅黑" w:hAnsi="微软雅黑" w:eastAsia="微软雅黑"/>
          <w:b/>
          <w:color w:val="000000" w:themeColor="text1"/>
          <w:sz w:val="21"/>
          <w:szCs w:val="21"/>
        </w:rPr>
        <w:t>2</w:t>
      </w:r>
      <w:r>
        <w:rPr>
          <w:rFonts w:hint="eastAsia" w:ascii="微软雅黑" w:hAnsi="微软雅黑" w:eastAsia="微软雅黑"/>
          <w:b/>
          <w:color w:val="000000" w:themeColor="text1"/>
          <w:sz w:val="21"/>
          <w:szCs w:val="21"/>
        </w:rPr>
        <w:t>）人群资产：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品牌活跃消费者人群较去年双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11提升200%，创历史新高。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b/>
          <w:color w:val="000000" w:themeColor="text1"/>
          <w:sz w:val="21"/>
          <w:szCs w:val="21"/>
        </w:rPr>
        <w:t>3</w:t>
      </w:r>
      <w:r>
        <w:rPr>
          <w:rFonts w:hint="eastAsia" w:ascii="微软雅黑" w:hAnsi="微软雅黑" w:eastAsia="微软雅黑"/>
          <w:b/>
          <w:color w:val="000000" w:themeColor="text1"/>
          <w:sz w:val="21"/>
          <w:szCs w:val="21"/>
        </w:rPr>
        <w:t>）销售战绩：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西门子家电双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11GMV较去年提升86.3%，冲击大家电类目TOP4，重点细分类目稳居TOP1。</w:t>
      </w:r>
      <w:bookmarkEnd w:id="0"/>
      <w:bookmarkEnd w:id="1"/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5F19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13BE9"/>
    <w:rsid w:val="002208F6"/>
    <w:rsid w:val="0022117C"/>
    <w:rsid w:val="00235C41"/>
    <w:rsid w:val="0023746F"/>
    <w:rsid w:val="002405B6"/>
    <w:rsid w:val="00250580"/>
    <w:rsid w:val="00252186"/>
    <w:rsid w:val="00255B1F"/>
    <w:rsid w:val="00262A77"/>
    <w:rsid w:val="002642C0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B4664"/>
    <w:rsid w:val="002E466D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0679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28B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46EEE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4BFF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22788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3791D"/>
    <w:rsid w:val="00753753"/>
    <w:rsid w:val="007537FC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0925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4729F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0DCF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2F6B"/>
    <w:rsid w:val="00A35C7F"/>
    <w:rsid w:val="00A375A1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1AE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11B2"/>
    <w:rsid w:val="00B35B50"/>
    <w:rsid w:val="00B36BD0"/>
    <w:rsid w:val="00B40529"/>
    <w:rsid w:val="00B413D5"/>
    <w:rsid w:val="00B5241D"/>
    <w:rsid w:val="00B54EBC"/>
    <w:rsid w:val="00B71E01"/>
    <w:rsid w:val="00B73548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69BF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A6705"/>
    <w:rsid w:val="00CB2251"/>
    <w:rsid w:val="00CB2938"/>
    <w:rsid w:val="00CB29C6"/>
    <w:rsid w:val="00CB462E"/>
    <w:rsid w:val="00CB4A74"/>
    <w:rsid w:val="00CC24FE"/>
    <w:rsid w:val="00CC70FB"/>
    <w:rsid w:val="00CC7D80"/>
    <w:rsid w:val="00CE55AC"/>
    <w:rsid w:val="00D13BC3"/>
    <w:rsid w:val="00D14F03"/>
    <w:rsid w:val="00D37EF2"/>
    <w:rsid w:val="00D409BB"/>
    <w:rsid w:val="00D5007A"/>
    <w:rsid w:val="00D5598B"/>
    <w:rsid w:val="00D56BD0"/>
    <w:rsid w:val="00D63679"/>
    <w:rsid w:val="00D6725D"/>
    <w:rsid w:val="00D71A2E"/>
    <w:rsid w:val="00D731FC"/>
    <w:rsid w:val="00D77BBD"/>
    <w:rsid w:val="00D80973"/>
    <w:rsid w:val="00DB3708"/>
    <w:rsid w:val="00DB4C4A"/>
    <w:rsid w:val="00DC2B39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A7981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3B61"/>
    <w:rsid w:val="00F56689"/>
    <w:rsid w:val="00F6269B"/>
    <w:rsid w:val="00F81374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A5314F9"/>
    <w:rsid w:val="136E2CE6"/>
    <w:rsid w:val="2AEF6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Char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99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Char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customXml" Target="../customXml/item1.xml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42CD04E-370E-441D-8089-F9945A4E7AE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10</Pages>
  <Words>362</Words>
  <Characters>2069</Characters>
  <Lines>17</Lines>
  <Paragraphs>4</Paragraphs>
  <TotalTime>1</TotalTime>
  <ScaleCrop>false</ScaleCrop>
  <LinksUpToDate>false</LinksUpToDate>
  <CharactersWithSpaces>2427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ylb</cp:lastModifiedBy>
  <cp:lastPrinted>2012-10-11T08:46:00Z</cp:lastPrinted>
  <dcterms:modified xsi:type="dcterms:W3CDTF">2021-04-20T03:40:24Z</dcterms:modified>
  <dc:title>No</dc:title>
  <cp:revision>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1451E3B7CD2A4BC4BC2F3669575D4604</vt:lpwstr>
  </property>
</Properties>
</file>